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jc w:val="center"/>
      </w:pPr>
      <w:r>
        <w:rPr>
          <w:b/>
          <w:color w:val="000000"/>
          <w:sz w:val="20"/>
        </w:rPr>
        <w:t>MASTER PROJECT</w:t>
      </w:r>
    </w:p>
    <w:p>
      <w:pPr>
        <w:jc w:val="center"/>
      </w:pPr>
      <w:r>
        <w:rPr>
          <w:rFonts w:ascii="Aptos Display" w:hAnsi="Aptos Display"/>
          <w:b/>
          <w:color w:val="000000"/>
          <w:sz w:val="84"/>
        </w:rPr>
        <w:t>GHFF</w:t>
      </w:r>
    </w:p>
    <w:p>
      <w:pPr>
        <w:jc w:val="center"/>
      </w:pPr>
      <w:r>
        <w:rPr>
          <w:b/>
          <w:color w:val="000000"/>
          <w:sz w:val="48"/>
        </w:rPr>
        <w:t>GLOBAL HUB FILM FESTIVAL</w:t>
      </w:r>
    </w:p>
    <w:p>
      <w:pPr>
        <w:jc w:val="center"/>
      </w:pPr>
      <w:r>
        <w:rPr>
          <w:b/>
          <w:color w:val="000000"/>
          <w:sz w:val="44"/>
        </w:rPr>
        <w:t>SIGHIȘOARA</w:t>
      </w:r>
    </w:p>
    <w:p>
      <w:pPr>
        <w:jc w:val="center"/>
      </w:pPr>
      <w:r>
        <w:rPr>
          <w:b/>
          <w:color w:val="000000"/>
          <w:sz w:val="24"/>
        </w:rPr>
        <w:t>FILM CONNECTS CULTURES &amp; BUSINESS</w:t>
      </w:r>
    </w:p>
    <w:p>
      <w:pPr>
        <w:spacing w:after="160"/>
        <w:jc w:val="center"/>
      </w:pPr>
      <w:r>
        <w:rPr>
          <w:sz w:val="21"/>
        </w:rPr>
        <w:t>Festival internațional de film, cultură, diplomație și business, cu axă strategică Europa–Asia Centrală</w:t>
      </w:r>
    </w:p>
    <w:p/>
    <w:p/>
    <w:tbl>
      <w:tblPr>
        <w:tblW w:type="auto" w:w="0"/>
        <w:jc w:val="center"/>
        <w:tblLayout w:type="autofit"/>
        <w:tblLook w:firstColumn="1" w:firstRow="1" w:lastColumn="0" w:lastRow="0" w:noHBand="0" w:noVBand="1" w:val="04A0"/>
      </w:tblPr>
      <w:tblGrid>
        <w:gridCol w:w="10368"/>
      </w:tblGrid>
      <w:tr>
        <w:trPr>
          <w:cantSplit/>
        </w:trPr>
        <w:tc>
          <w:tcPr>
            <w:tcW w:type="dxa" w:w="10368"/>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vAlign w:val="center"/>
          </w:tcPr>
          <w:p>
            <w:pPr>
              <w:spacing w:after="40" w:before="20"/>
            </w:pPr>
            <w:r>
              <w:rPr>
                <w:rFonts w:ascii="Aptos" w:hAnsi="Aptos"/>
                <w:color w:val="000000"/>
                <w:sz w:val="16"/>
              </w:rPr>
            </w:r>
            <w:r>
              <w:rPr>
                <w:rFonts w:ascii="Aptos" w:hAnsi="Aptos"/>
                <w:b/>
                <w:color w:val="000000"/>
                <w:sz w:val="16"/>
              </w:rPr>
              <w:t>POZIȚIONARE</w:t>
              <w:br/>
            </w:r>
            <w:r>
              <w:rPr>
                <w:rFonts w:ascii="Aptos" w:hAnsi="Aptos"/>
                <w:color w:val="000000"/>
                <w:sz w:val="16"/>
              </w:rPr>
              <w:t>Platformă globală de întâlnire între culturi și piețe, găzduită de România, cu axă strategică Europa–Asia Centrală. 14 zile • 5–7 proiecții/zi • Film Market • Business Forum • Global Village • Co-production Lab • Romanian Film Every Night.</w:t>
            </w:r>
          </w:p>
        </w:tc>
      </w:tr>
    </w:tbl>
    <w:p>
      <w:pPr>
        <w:spacing w:after="0"/>
      </w:pPr>
    </w:p>
    <w:p>
      <w:pPr>
        <w:jc w:val="center"/>
      </w:pPr>
      <w:r>
        <w:rPr>
          <w:color w:val="000000"/>
          <w:sz w:val="17"/>
        </w:rPr>
        <w:t>Document pregătit pentru administrația locală, instituții culturale, ambasade, finanțatori, sponsori și parteneri de industrie.</w:t>
      </w:r>
    </w:p>
    <w:p>
      <w:pPr>
        <w:jc w:val="center"/>
      </w:pPr>
      <w:r>
        <w:rPr>
          <w:i/>
          <w:sz w:val="18"/>
        </w:rPr>
        <w:t>Document extins: argumentare strategică, justificare instituțională, criterii de implementare și logică financiară pentru fiecare capitol.</w:t>
      </w:r>
    </w:p>
    <w:p>
      <w:pPr>
        <w:jc w:val="center"/>
      </w:pPr>
      <w:r>
        <w:rPr>
          <w:color w:val="000000"/>
          <w:sz w:val="18"/>
        </w:rPr>
        <w:t>Versiune: 2.0 – Master Project extins și argumentat  |  August 2026  |  Ediția inaugurală recomandată: 2027, data exactă de stabilit</w:t>
      </w:r>
    </w:p>
    <w:p>
      <w:r>
        <w:rPr>
          <w:color w:val="000000"/>
        </w:rPr>
        <w:br w:type="page"/>
      </w:r>
    </w:p>
    <w:p>
      <w:pPr>
        <w:pStyle w:val="Kicker"/>
      </w:pPr>
      <w:r>
        <w:rPr>
          <w:color w:val="000000"/>
        </w:rPr>
        <w:t>DECIZIE STRATEGICĂ</w:t>
      </w:r>
    </w:p>
    <w:p>
      <w:pPr>
        <w:pStyle w:val="Heading1"/>
        <w:keepNext/>
      </w:pPr>
      <w:r>
        <w:rPr>
          <w:color w:val="000000"/>
        </w:rPr>
        <w:t>1. Rezumat executiv</w:t>
      </w:r>
    </w:p>
    <w:p>
      <w:pPr>
        <w:pStyle w:val="Argumentare"/>
        <w:keepNext/>
      </w:pPr>
      <w:r>
        <w:t>ARGUMENTARE STRATEGICĂ</w:t>
      </w:r>
    </w:p>
    <w:p>
      <w:pPr>
        <w:pStyle w:val="ArgumentBody"/>
      </w:pPr>
      <w:r>
        <w:t>Un proiect de această amploare trebuie înțeles din prima pagină ca infrastructură de relații, nu ca simplă succesiune de proiecții. Filmul are avantajul de a crea vizibilitate, emoție și acces public, însă valoarea instituțională apare atunci când această audiență este conectată cu diplomația culturală, coproducția, turismul și mediul de afaceri. Prin urmare, rezumatul executiv formulează deliberat festivalul ca platformă: aceeași investiție în brand, logistică și atragerea delegațiilor produce simultan beneficii culturale, economice și de imagine pentru oraș și pentru România.</w:t>
      </w:r>
    </w:p>
    <w:p>
      <w:pPr>
        <w:pStyle w:val="Argumentare"/>
        <w:keepNext/>
      </w:pPr>
      <w:r>
        <w:t>DE CE ESTE RELEVANT PENTRU PARTENERI</w:t>
      </w:r>
    </w:p>
    <w:p>
      <w:pPr>
        <w:pStyle w:val="ArgumentBody"/>
      </w:pPr>
      <w:r>
        <w:t>Pentru administrația locală, proiectul poate extinde sezonul turistic și poate crește durata medie de ședere. Pentru Ministerul Culturii și instituțiile naționale, oferă o platformă de export cultural românesc. Pentru ambasade, creează un cadru predictibil de prezentare a cinematografiei și culturii naționale. Pentru sponsori, diferențiatorul este accesul la un public mixt – consumatori, profesioniști, decidenți și delegații internaționale – într-un context cu reputație culturală, nu într-o expunere publicitară izolată.</w:t>
      </w:r>
    </w:p>
    <w:p>
      <w:pPr>
        <w:pStyle w:val="Argumentare"/>
        <w:keepNext/>
      </w:pPr>
      <w:r>
        <w:t>CONDIȚIE DE SUCCES</w:t>
      </w:r>
    </w:p>
    <w:p>
      <w:pPr>
        <w:pStyle w:val="ArgumentBody"/>
      </w:pPr>
      <w:r>
        <w:t>Promisiunea de hub trebuie susținută prin rezultate măsurabile: filme programate, întâlniri B2B, proiecte de coproducție, nopți de cazare, acoperire media și follow-up după eveniment. Dacă aceste rezultate nu sunt urmărite, proiectul riscă să rămână un festival generic. De aceea, mecanismul de evaluare este integrat în arhitectura Master Project-ului, nu adăugat ulterior ca exercițiu de raportare.</w:t>
      </w:r>
    </w:p>
    <w:p>
      <w:pPr>
        <w:pStyle w:val="Lead"/>
      </w:pPr>
      <w:r>
        <w:rPr>
          <w:color w:val="000000"/>
        </w:rPr>
        <w:t>GHFF – GLOBAL HUB FILM FESTIVAL – SIGHIȘOARA este propus ca un eveniment internațional anual de 14 zile care folosește cinematografia drept magnet de audiență și reputație, dar construiește în jurul ei o infrastructură permanentă de relații culturale, coproducție, business, turism și diplomație.</w:t>
      </w:r>
    </w:p>
    <w:p>
      <w:r>
        <w:rPr>
          <w:color w:val="000000"/>
        </w:rPr>
        <w:t>Accentul geografic distinctiv este pus pe Asia Centrală și pe statele al căror nume se termină în „-stan” — cu program extins către întregul coridor eurasiatic. România nu este poziționată ca simplă gazdă, ci ca poartă europeană de dialog, iar cinematografia românească închide fiecare seară importantă a festivalului.</w:t>
      </w:r>
    </w:p>
    <w:tbl>
      <w:tblPr>
        <w:tblStyle w:val="TableGrid"/>
        <w:tblW w:type="auto" w:w="0"/>
        <w:jc w:val="center"/>
        <w:tblLayout w:type="autofit"/>
        <w:tblLook w:firstColumn="1" w:firstRow="1" w:lastColumn="0" w:lastRow="0" w:noHBand="0" w:noVBand="1" w:val="04A0"/>
      </w:tblPr>
      <w:tblGrid>
        <w:gridCol w:w="5184"/>
        <w:gridCol w:w="5184"/>
      </w:tblGrid>
      <w:tr>
        <w:trPr>
          <w:cantSplit/>
          <w:tblHeader w:val="true"/>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Parametru</w:t>
            </w:r>
          </w:p>
        </w:tc>
        <w:tc>
          <w:tcPr>
            <w:tcW w:type="dxa" w:w="67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Ținta ediției 1</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Durată</w:t>
            </w:r>
          </w:p>
        </w:tc>
        <w:tc>
          <w:tcPr>
            <w:tcW w:type="dxa" w:w="67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14 zile consecutive</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Proiecții</w:t>
            </w:r>
          </w:p>
        </w:tc>
        <w:tc>
          <w:tcPr>
            <w:tcW w:type="dxa" w:w="67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5–7 zilnic / aproximativ 80–90 proiecții</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Țări</w:t>
            </w:r>
          </w:p>
        </w:tc>
        <w:tc>
          <w:tcPr>
            <w:tcW w:type="dxa" w:w="67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12–18 reprezentate</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Invitați internaționali</w:t>
            </w:r>
          </w:p>
        </w:tc>
        <w:tc>
          <w:tcPr>
            <w:tcW w:type="dxa" w:w="67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70–100</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Industry &amp; business</w:t>
            </w:r>
          </w:p>
        </w:tc>
        <w:tc>
          <w:tcPr>
            <w:tcW w:type="dxa" w:w="67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150+ profesioniști / 100+ întâlniri B2B</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Participări cumulate</w:t>
            </w:r>
          </w:p>
        </w:tc>
        <w:tc>
          <w:tcPr>
            <w:tcW w:type="dxa" w:w="67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30.000+ intrări la proiecții și evenimente</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Buget de referință</w:t>
            </w:r>
          </w:p>
        </w:tc>
        <w:tc>
          <w:tcPr>
            <w:tcW w:type="dxa" w:w="67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1.200.000 EUR</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Model</w:t>
            </w:r>
          </w:p>
        </w:tc>
        <w:tc>
          <w:tcPr>
            <w:tcW w:type="dxa" w:w="67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Film + Culture + Diplomacy + Business</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Moștenire</w:t>
            </w:r>
          </w:p>
        </w:tc>
        <w:tc>
          <w:tcPr>
            <w:tcW w:type="dxa" w:w="67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Hub permanent și programe pe tot parcursul anului</w:t>
            </w:r>
          </w:p>
        </w:tc>
      </w:tr>
    </w:tbl>
    <w:p>
      <w:pPr>
        <w:spacing w:after="0"/>
      </w:pPr>
    </w:p>
    <w:tbl>
      <w:tblPr>
        <w:tblW w:type="auto" w:w="0"/>
        <w:jc w:val="center"/>
        <w:tblLayout w:type="autofit"/>
        <w:tblLook w:firstColumn="1" w:firstRow="1" w:lastColumn="0" w:lastRow="0" w:noHBand="0" w:noVBand="1" w:val="04A0"/>
      </w:tblPr>
      <w:tblGrid>
        <w:gridCol w:w="10368"/>
      </w:tblGrid>
      <w:tr>
        <w:trPr>
          <w:cantSplit/>
        </w:trPr>
        <w:tc>
          <w:tcPr>
            <w:tcW w:type="dxa" w:w="10368"/>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vAlign w:val="center"/>
          </w:tcPr>
          <w:p>
            <w:pPr>
              <w:spacing w:after="40" w:before="20"/>
            </w:pPr>
            <w:r>
              <w:rPr>
                <w:rFonts w:ascii="Aptos" w:hAnsi="Aptos"/>
                <w:color w:val="000000"/>
                <w:sz w:val="16"/>
              </w:rPr>
            </w:r>
            <w:r>
              <w:rPr>
                <w:rFonts w:ascii="Aptos" w:hAnsi="Aptos"/>
                <w:b/>
                <w:color w:val="000000"/>
                <w:sz w:val="16"/>
              </w:rPr>
              <w:t>DECIZIA CERUTĂ</w:t>
              <w:br/>
            </w:r>
            <w:r>
              <w:rPr>
                <w:rFonts w:ascii="Aptos" w:hAnsi="Aptos"/>
                <w:color w:val="000000"/>
                <w:sz w:val="16"/>
              </w:rPr>
              <w:t>Inițierea unui parteneriat de principiu pentru dezvoltarea ediției inaugurale, constituirea organizației dedicate, desemnarea unui grup de lucru și lansarea fazei de fundraising / country outreach.</w:t>
            </w:r>
          </w:p>
        </w:tc>
      </w:tr>
    </w:tbl>
    <w:p>
      <w:pPr>
        <w:spacing w:after="0"/>
      </w:pPr>
    </w:p>
    <w:p>
      <w:r>
        <w:rPr>
          <w:color w:val="000000"/>
        </w:rPr>
      </w:r>
    </w:p>
    <w:p>
      <w:pPr>
        <w:pStyle w:val="Kicker"/>
      </w:pPr>
      <w:r>
        <w:rPr>
          <w:color w:val="000000"/>
        </w:rPr>
        <w:t>DE CE ACUM / DE CE SIGHIȘOARA</w:t>
      </w:r>
    </w:p>
    <w:p>
      <w:pPr>
        <w:pStyle w:val="Heading1"/>
        <w:keepNext/>
      </w:pPr>
      <w:r>
        <w:rPr>
          <w:color w:val="000000"/>
        </w:rPr>
        <w:t>2. Fundamentarea proiectului</w:t>
      </w:r>
    </w:p>
    <w:p>
      <w:pPr>
        <w:pStyle w:val="Argumentare"/>
        <w:keepNext/>
      </w:pPr>
      <w:r>
        <w:t>ARGUMENTARE STRATEGICĂ</w:t>
      </w:r>
    </w:p>
    <w:p>
      <w:pPr>
        <w:pStyle w:val="ArgumentBody"/>
      </w:pPr>
      <w:r>
        <w:t>Alegerea Sighișoarei nu este doar decorativă. Orașul oferă o combinație rară de patrimoniu, scară pietonală și identitate vizuală. Într-un peisaj internațional în care multe festivaluri concurează cu programe similare, locul devine parte din produs. Imaginea cetății medievale creează recunoaștere instantanee și poate transforma fotografiile de presă, red carpet-ul, interviurile și conținutul social într-o semnătură vizuală proprie.</w:t>
      </w:r>
    </w:p>
    <w:p>
      <w:pPr>
        <w:pStyle w:val="Argumentare"/>
        <w:keepNext/>
      </w:pPr>
      <w:r>
        <w:t>LOGICA TERITORIALĂ</w:t>
      </w:r>
    </w:p>
    <w:p>
      <w:pPr>
        <w:pStyle w:val="ArgumentBody"/>
      </w:pPr>
      <w:r>
        <w:t>Un festival compact poate funcționa ca un campus urban: spectatorul se deplasează pe jos între cinema, piață publică, expoziție și întâlnire profesională. Această proximitate reduce fricțiunea logistică, favorizează întâlnirile spontane și distribuie cheltuielile vizitatorilor către hoteluri, restaurante și comerț local. În același timp, patrimoniul impune limite reale de sunet, acces, montaj și capacitate; tocmai de aceea utilizarea Cetății trebuie proiectată cu un standard de conservare mai exigent decât la un eveniment într-un parc expozițional.</w:t>
      </w:r>
    </w:p>
    <w:p>
      <w:pPr>
        <w:pStyle w:val="Argumentare"/>
        <w:keepNext/>
      </w:pPr>
      <w:r>
        <w:t>DE CE GHFF</w:t>
      </w:r>
    </w:p>
    <w:p>
      <w:pPr>
        <w:pStyle w:val="ArgumentBody"/>
      </w:pPr>
      <w:r>
        <w:t>Accentul pe Asia Centrală evită o poziționare excesiv de largă. În loc să concureze cu festivaluri generaliste pentru aceleași premiere, Sighișoara poate deveni specialistul european într-un coridor cultural insuficient reprezentat. Tema Drumului Mătăsii oferă continuitate istorică, dar proiectul trebuie să evite exotizarea și să trateze fiecare țară prin cinema contemporan, instituții, profesioniști și relații economice reale.</w:t>
      </w:r>
    </w:p>
    <w:p>
      <w:pPr>
        <w:pStyle w:val="Lead"/>
      </w:pPr>
      <w:r>
        <w:rPr>
          <w:color w:val="000000"/>
        </w:rPr>
        <w:t>Sighișoara oferă un avantaj de brand rar: un oraș istoric european recognoscibil, compact, walkable și cu o identitate vizuală suficient de puternică pentru a deveni parte din imaginea festivalului, nu doar decorul său.</w:t>
      </w:r>
    </w:p>
    <w:p>
      <w:pPr>
        <w:pStyle w:val="ListBullet"/>
        <w:spacing w:after="36"/>
      </w:pPr>
      <w:r>
        <w:rPr>
          <w:color w:val="000000"/>
          <w:sz w:val="18"/>
        </w:rPr>
        <w:t>Centrul istoric al Sighișoarei este înscris în Lista Patrimoniului Mondial UNESCO din 1999, pe criteriile (iii) și (v).</w:t>
      </w:r>
    </w:p>
    <w:p>
      <w:pPr>
        <w:pStyle w:val="ListBullet"/>
        <w:spacing w:after="36"/>
      </w:pPr>
      <w:r>
        <w:rPr>
          <w:color w:val="000000"/>
          <w:sz w:val="18"/>
        </w:rPr>
        <w:t>Municipiul utilizează deja Cetatea Medievală, Piața Cetății și Piața Muzeului pentru festivaluri și evenimente culturale cu program extins.</w:t>
      </w:r>
    </w:p>
    <w:p>
      <w:pPr>
        <w:pStyle w:val="ListBullet"/>
        <w:spacing w:after="36"/>
      </w:pPr>
      <w:r>
        <w:rPr>
          <w:color w:val="000000"/>
          <w:sz w:val="18"/>
        </w:rPr>
        <w:t>Există infrastructură culturală municipală utilizabilă în model multi-venue, inclusiv Sala „Mihai Eminescu” și Sala „Ciprian Porumbescu”, sub rezerva auditului tehnic și a rezervării.</w:t>
      </w:r>
    </w:p>
    <w:p>
      <w:pPr>
        <w:pStyle w:val="ListBullet"/>
        <w:spacing w:after="36"/>
      </w:pPr>
      <w:r>
        <w:rPr>
          <w:color w:val="000000"/>
          <w:sz w:val="18"/>
        </w:rPr>
        <w:t>Poziționarea Transilvaniei permite extinderea experienței către turism, location scouting și itinerarii pentru delegații internaționale.</w:t>
      </w:r>
    </w:p>
    <w:p>
      <w:pPr>
        <w:pStyle w:val="ListBullet"/>
        <w:spacing w:after="36"/>
      </w:pPr>
      <w:r>
        <w:rPr>
          <w:color w:val="000000"/>
          <w:sz w:val="18"/>
        </w:rPr>
        <w:t>Nisa Europa–Asia Centrală este suficient de specifică pentru diferențiere și suficient de largă pentru creștere pe termen lung.</w:t>
      </w:r>
    </w:p>
    <w:tbl>
      <w:tblPr>
        <w:tblW w:type="auto" w:w="0"/>
        <w:jc w:val="center"/>
        <w:tblLayout w:type="autofit"/>
        <w:tblLook w:firstColumn="1" w:firstRow="1" w:lastColumn="0" w:lastRow="0" w:noHBand="0" w:noVBand="1" w:val="04A0"/>
      </w:tblPr>
      <w:tblGrid>
        <w:gridCol w:w="10368"/>
      </w:tblGrid>
      <w:tr>
        <w:trPr>
          <w:cantSplit/>
        </w:trPr>
        <w:tc>
          <w:tcPr>
            <w:tcW w:type="dxa" w:w="10368"/>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vAlign w:val="center"/>
          </w:tcPr>
          <w:p>
            <w:pPr>
              <w:spacing w:after="40" w:before="20"/>
            </w:pPr>
            <w:r>
              <w:rPr>
                <w:rFonts w:ascii="Aptos" w:hAnsi="Aptos"/>
                <w:color w:val="000000"/>
                <w:sz w:val="16"/>
              </w:rPr>
            </w:r>
            <w:r>
              <w:rPr>
                <w:rFonts w:ascii="Aptos" w:hAnsi="Aptos"/>
                <w:b/>
                <w:color w:val="000000"/>
                <w:sz w:val="16"/>
              </w:rPr>
              <w:t>TEZA DE POZIȚIONARE</w:t>
              <w:br/>
            </w:r>
            <w:r>
              <w:rPr>
                <w:rFonts w:ascii="Aptos" w:hAnsi="Aptos"/>
                <w:color w:val="000000"/>
                <w:sz w:val="16"/>
              </w:rPr>
              <w:t>Nu construim „încă un festival de film”. Construim un punct anual de întâlnire Europa–Asia Centrală, în care filmul produce audiență, cultura produce încredere, diplomația produce acces, iar businessul produce continuitate.</w:t>
            </w:r>
          </w:p>
        </w:tc>
      </w:tr>
    </w:tbl>
    <w:p>
      <w:pPr>
        <w:spacing w:after="0"/>
      </w:pPr>
    </w:p>
    <w:p>
      <w:r>
        <w:rPr>
          <w:color w:val="000000"/>
        </w:rPr>
        <w:t>Sursele europene de finanțare și industrie trebuie urmărite anual. Creative Europe MEDIA continuă în 2026 să susțină dezvoltarea, circulația și promovarea conținutului audiovizual european și cooperarea la nivelul lanțului valoric, iar Eurimages rămâne un reper pentru coproducțiile internaționale. Eligibilitatea festivalului sau a proiectelor se verifică separat la fiecare apel.</w:t>
      </w:r>
    </w:p>
    <w:p>
      <w:r>
        <w:rPr>
          <w:color w:val="000000"/>
        </w:rPr>
      </w:r>
    </w:p>
    <w:p>
      <w:pPr>
        <w:pStyle w:val="Kicker"/>
      </w:pPr>
      <w:r>
        <w:rPr>
          <w:color w:val="000000"/>
        </w:rPr>
        <w:t>STRATEGIE 5 ANI</w:t>
      </w:r>
    </w:p>
    <w:p>
      <w:pPr>
        <w:pStyle w:val="Heading1"/>
        <w:keepNext/>
      </w:pPr>
      <w:r>
        <w:rPr>
          <w:color w:val="000000"/>
        </w:rPr>
        <w:t>3. Viziune, misiune și obiective</w:t>
      </w:r>
    </w:p>
    <w:p>
      <w:pPr>
        <w:pStyle w:val="Argumentare"/>
        <w:keepNext/>
      </w:pPr>
      <w:r>
        <w:t>ARGUMENTARE STRATEGICĂ</w:t>
      </w:r>
    </w:p>
    <w:p>
      <w:pPr>
        <w:pStyle w:val="ArgumentBody"/>
      </w:pPr>
      <w:r>
        <w:t>Viziunea pe cinci ani este necesară deoarece reputația unui festival nu se cumpără într-o singură ediție. Se construiește prin consecvență editorială, calitatea invitaților, predictibilitatea calendarului și capacitatea de a demonstra că întâlnirile produc colaborări. O promisiune multianuală permite sponsorilor, ambasadelor și partenerilor publici să privească proiectul ca pe o investiție în poziționarea orașului, nu ca pe o cheltuială anuală fără continuitate.</w:t>
      </w:r>
    </w:p>
    <w:p>
      <w:pPr>
        <w:pStyle w:val="Argumentare"/>
        <w:keepNext/>
      </w:pPr>
      <w:r>
        <w:t>OBIECTIVE CARE POT FI AUDITATE</w:t>
      </w:r>
    </w:p>
    <w:p>
      <w:pPr>
        <w:pStyle w:val="ArgumentBody"/>
      </w:pPr>
      <w:r>
        <w:t>Obiectivele sunt formulate numeric tocmai pentru a putea fi verificate. Numărul de filme sau țări este doar primul nivel. Mai importante sunt ocuparea sălilor, ponderea turiștilor, numărul întâlnirilor profesionale, proiectele care continuă după festival și valoarea resurselor private atrase. În această logică, creșterea nu este sinonimă cu un buget mai mare, ci cu o capacitate mai mare de a converti audiența și relațiile în impact.</w:t>
      </w:r>
    </w:p>
    <w:p>
      <w:pPr>
        <w:pStyle w:val="Argumentare"/>
        <w:keepNext/>
      </w:pPr>
      <w:r>
        <w:t>MOȘTENIRE</w:t>
      </w:r>
    </w:p>
    <w:p>
      <w:pPr>
        <w:pStyle w:val="ArgumentBody"/>
      </w:pPr>
      <w:r>
        <w:t>Sighișoara Global Hub Center este introdus ca țintă de maturitate, nu ca investiție imediată. Existența unui centru permanent devine justificată numai după ce festivalul demonstrează cerere pe tot parcursul anului pentru rezidențe, întâlniri de industrie, educație și proiecte bilaterale. Această etapizare protejează proiectul de supra-investiții premature.</w:t>
      </w:r>
    </w:p>
    <w:p>
      <w:pPr>
        <w:pStyle w:val="Heading2"/>
        <w:keepNext/>
      </w:pPr>
      <w:r>
        <w:rPr>
          <w:color w:val="000000"/>
        </w:rPr>
        <w:t>Viziune</w:t>
      </w:r>
    </w:p>
    <w:p>
      <w:r>
        <w:rPr>
          <w:color w:val="000000"/>
        </w:rPr>
        <w:t>Sighișoara devine, timp de două săptămâni pe an, capitala europeană a dialogului cinematografic, cultural și economic cu Asia Centrală și, până în anul 5, gazda unui hub eurasiatic permanent.</w:t>
      </w:r>
    </w:p>
    <w:p>
      <w:pPr>
        <w:pStyle w:val="Heading2"/>
        <w:keepNext/>
      </w:pPr>
      <w:r>
        <w:rPr>
          <w:color w:val="000000"/>
        </w:rPr>
        <w:t>Misiune</w:t>
      </w:r>
    </w:p>
    <w:p>
      <w:r>
        <w:rPr>
          <w:color w:val="000000"/>
        </w:rPr>
        <w:t>Crearea unei platforme neutre și profesioniste în care poveștile, profesioniștii, instituțiile și companiile pot construi proiecte comune între România, Europa și spațiul eurasiatic.</w:t>
      </w:r>
    </w:p>
    <w:p>
      <w:pPr>
        <w:pStyle w:val="Heading2"/>
        <w:keepNext/>
      </w:pPr>
      <w:r>
        <w:rPr>
          <w:color w:val="000000"/>
        </w:rPr>
        <w:t>Obiective măsurabile</w:t>
      </w:r>
    </w:p>
    <w:p>
      <w:pPr>
        <w:pStyle w:val="ListBullet"/>
        <w:spacing w:after="36"/>
      </w:pPr>
      <w:r>
        <w:rPr>
          <w:color w:val="000000"/>
          <w:sz w:val="18"/>
        </w:rPr>
        <w:t>Construirea unei selecții anuale de 70–100 de filme și a unei competiții internaționale credibile.</w:t>
      </w:r>
    </w:p>
    <w:p>
      <w:pPr>
        <w:pStyle w:val="ListBullet"/>
        <w:spacing w:after="36"/>
      </w:pPr>
      <w:r>
        <w:rPr>
          <w:color w:val="000000"/>
          <w:sz w:val="18"/>
        </w:rPr>
        <w:t>Crearea unui Film Market și a unui Co-production Lab capabile să genereze proiecte și distribuții reale.</w:t>
      </w:r>
    </w:p>
    <w:p>
      <w:pPr>
        <w:pStyle w:val="ListBullet"/>
        <w:spacing w:after="36"/>
      </w:pPr>
      <w:r>
        <w:rPr>
          <w:color w:val="000000"/>
          <w:sz w:val="18"/>
        </w:rPr>
        <w:t>Organizarea unui Business Forum cu întâlniri B2B pre-programate și rezultate urmărite post-eveniment.</w:t>
      </w:r>
    </w:p>
    <w:p>
      <w:pPr>
        <w:pStyle w:val="ListBullet"/>
        <w:spacing w:after="36"/>
      </w:pPr>
      <w:r>
        <w:rPr>
          <w:color w:val="000000"/>
          <w:sz w:val="18"/>
        </w:rPr>
        <w:t>Creșterea duratei de ședere și a consumului turistic în Sighișoara și regiune.</w:t>
      </w:r>
    </w:p>
    <w:p>
      <w:pPr>
        <w:pStyle w:val="ListBullet"/>
        <w:spacing w:after="36"/>
      </w:pPr>
      <w:r>
        <w:rPr>
          <w:color w:val="000000"/>
          <w:sz w:val="18"/>
        </w:rPr>
        <w:t>Promovarea cinematografiei românești în fața fiecărei delegații internaționale prin conceptul „Romania Every Night”.</w:t>
      </w:r>
    </w:p>
    <w:p>
      <w:pPr>
        <w:pStyle w:val="ListBullet"/>
        <w:spacing w:after="36"/>
      </w:pPr>
      <w:r>
        <w:rPr>
          <w:color w:val="000000"/>
          <w:sz w:val="18"/>
        </w:rPr>
        <w:t>Dezvoltarea unei instituții permanente: Sighișoara Global Hub Center.</w:t>
      </w:r>
    </w:p>
    <w:tbl>
      <w:tblPr>
        <w:tblW w:type="auto" w:w="0"/>
        <w:jc w:val="center"/>
        <w:tblLayout w:type="autofit"/>
        <w:tblLook w:firstColumn="1" w:firstRow="1" w:lastColumn="0" w:lastRow="0" w:noHBand="0" w:noVBand="1" w:val="04A0"/>
      </w:tblPr>
      <w:tblGrid>
        <w:gridCol w:w="10368"/>
      </w:tblGrid>
      <w:tr>
        <w:trPr>
          <w:cantSplit/>
        </w:trPr>
        <w:tc>
          <w:tcPr>
            <w:tcW w:type="dxa" w:w="10368"/>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vAlign w:val="center"/>
          </w:tcPr>
          <w:p>
            <w:pPr>
              <w:spacing w:after="40" w:before="20"/>
            </w:pPr>
            <w:r>
              <w:rPr>
                <w:rFonts w:ascii="Aptos" w:hAnsi="Aptos"/>
                <w:color w:val="000000"/>
                <w:sz w:val="16"/>
              </w:rPr>
            </w:r>
            <w:r>
              <w:rPr>
                <w:rFonts w:ascii="Aptos" w:hAnsi="Aptos"/>
                <w:b/>
                <w:color w:val="000000"/>
                <w:sz w:val="16"/>
              </w:rPr>
              <w:t>PRINCIPIU DE EVALUARE</w:t>
              <w:br/>
            </w:r>
            <w:r>
              <w:rPr>
                <w:rFonts w:ascii="Aptos" w:hAnsi="Aptos"/>
                <w:color w:val="000000"/>
                <w:sz w:val="16"/>
              </w:rPr>
              <w:t>Succesul nu se măsoară doar în spectatori, ci în ceea ce rămâne după festival: coproducții, contracte, investiții, distribuții, schimburi academice, relații diplomatice și revenirea participanților.</w:t>
            </w:r>
          </w:p>
        </w:tc>
      </w:tr>
    </w:tbl>
    <w:p>
      <w:pPr>
        <w:spacing w:after="0"/>
      </w:pPr>
    </w:p>
    <w:p>
      <w:r>
        <w:rPr>
          <w:color w:val="000000"/>
        </w:rPr>
      </w:r>
    </w:p>
    <w:p>
      <w:pPr>
        <w:pStyle w:val="Kicker"/>
      </w:pPr>
      <w:r>
        <w:rPr>
          <w:color w:val="000000"/>
        </w:rPr>
        <w:t>UN SINGUR BRAND, MAI MULTE MOTOARE</w:t>
      </w:r>
    </w:p>
    <w:p>
      <w:pPr>
        <w:pStyle w:val="Heading1"/>
        <w:keepNext/>
      </w:pPr>
      <w:r>
        <w:rPr>
          <w:color w:val="000000"/>
        </w:rPr>
        <w:t>4. Arhitectura de brand</w:t>
      </w:r>
    </w:p>
    <w:p>
      <w:pPr>
        <w:pStyle w:val="Argumentare"/>
        <w:keepNext/>
      </w:pPr>
      <w:r>
        <w:t>ARGUMENTARE STRATEGICĂ</w:t>
      </w:r>
    </w:p>
    <w:p>
      <w:pPr>
        <w:pStyle w:val="ArgumentBody"/>
      </w:pPr>
      <w:r>
        <w:t>Arhitectura de brand are rolul de a evita două riscuri opuse: un nume unic atât de larg încât nu explică nimic și o colecție de sub-evenimente fără legătură între ele. Modelul umbrelă permite ca GHFF să acumuleze reputație, în timp ce fiecare sub-brand explică rapid utilitatea sa: public, industrie, business, educație sau experiență urbană.</w:t>
      </w:r>
    </w:p>
    <w:p>
      <w:pPr>
        <w:pStyle w:val="Argumentare"/>
        <w:keepNext/>
      </w:pPr>
      <w:r>
        <w:t>EFICIENȚĂ DE COMUNICARE</w:t>
      </w:r>
    </w:p>
    <w:p>
      <w:pPr>
        <w:pStyle w:val="ArgumentBody"/>
      </w:pPr>
      <w:r>
        <w:t>Pentru sponsori și presă, un sistem coerent reduce costurile de comunicare. Film Market-ul nu trebuie lansat ca brand independent care pornește de la zero, iar Business Forum-ul nu trebuie să concureze cu festivalul pentru atenție. Toate beneficiază de aceeași campanie, aceeași bază de date, aceeași acreditare și aceeași promisiune de destinație. Această integrare permite și pachete comerciale mai clare, în care un partener poate alege o asociere transversală sau una concentrată pe un singur program.</w:t>
      </w:r>
    </w:p>
    <w:p>
      <w:pPr>
        <w:pStyle w:val="Argumentare"/>
        <w:keepNext/>
      </w:pPr>
      <w:r>
        <w:t>DISCIPLINĂ DE BRAND</w:t>
      </w:r>
    </w:p>
    <w:p>
      <w:pPr>
        <w:pStyle w:val="ArgumentBody"/>
      </w:pPr>
      <w:r>
        <w:t>Extensiile viitoare trebuie aprobate numai dacă aduc o funcție nouă și au public, buget și responsabil clar. Adăugarea de denumiri fără resurse diluează marca. Regula recomandată este simplă: un sub-brand nou apare doar dacă poate exista ca program distinct în agenda festivalului și poate fi măsurat separat.</w:t>
      </w:r>
    </w:p>
    <w:p>
      <w:pPr>
        <w:pStyle w:val="Lead"/>
      </w:pPr>
      <w:r>
        <w:rPr>
          <w:color w:val="000000"/>
        </w:rPr>
        <w:t>Brandul „GHFF” trebuie să funcționeze ca o umbrelă coerentă. Fiecare subprogram are identitate proprie, dar nu fragmentează reputația sau comunicarea.</w:t>
      </w:r>
    </w:p>
    <w:tbl>
      <w:tblPr>
        <w:tblStyle w:val="TableGrid"/>
        <w:tblW w:type="auto" w:w="0"/>
        <w:jc w:val="center"/>
        <w:tblLayout w:type="autofit"/>
        <w:tblLook w:firstColumn="1" w:firstRow="1" w:lastColumn="0" w:lastRow="0" w:noHBand="0" w:noVBand="1" w:val="04A0"/>
      </w:tblPr>
      <w:tblGrid>
        <w:gridCol w:w="5184"/>
        <w:gridCol w:w="5184"/>
      </w:tblGrid>
      <w:tr>
        <w:trPr>
          <w:cantSplit/>
          <w:tblHeader w:val="true"/>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Sub-brand</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Rol</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GHFF Film Festival</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Program cinematografic, competiții, premiere, public</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GHFF Film Market</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Drepturi, distribuție, sales, film commissions, furnizori</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GHFF Co-production Lab</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Dezvoltare de proiecte și pitching</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GHFF Business Forum</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Comerț, investiții, turism, tehnologie, industrii creative</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Global Village</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Experiență publică: cultură, gastronomie, turism, artizanat</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GHFF Talks</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Conferințe și dialog public</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GHFF Academy</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Masterclass-uri, Talent Campus, universități</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GHFF Nights</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Muzică și program de seară</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GHFF Business Club</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Relația permanentă cu companiile și sponsorii</w:t>
            </w:r>
          </w:p>
        </w:tc>
      </w:tr>
    </w:tbl>
    <w:p>
      <w:pPr>
        <w:spacing w:after="0"/>
      </w:pPr>
    </w:p>
    <w:tbl>
      <w:tblPr>
        <w:tblW w:type="auto" w:w="0"/>
        <w:jc w:val="center"/>
        <w:tblLayout w:type="autofit"/>
        <w:tblLook w:firstColumn="1" w:firstRow="1" w:lastColumn="0" w:lastRow="0" w:noHBand="0" w:noVBand="1" w:val="04A0"/>
      </w:tblPr>
      <w:tblGrid>
        <w:gridCol w:w="10368"/>
      </w:tblGrid>
      <w:tr>
        <w:trPr>
          <w:cantSplit/>
        </w:trPr>
        <w:tc>
          <w:tcPr>
            <w:tcW w:type="dxa" w:w="10368"/>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vAlign w:val="center"/>
          </w:tcPr>
          <w:p>
            <w:pPr>
              <w:spacing w:after="40" w:before="20"/>
            </w:pPr>
            <w:r>
              <w:rPr>
                <w:rFonts w:ascii="Aptos" w:hAnsi="Aptos"/>
                <w:color w:val="000000"/>
                <w:sz w:val="16"/>
              </w:rPr>
            </w:r>
            <w:r>
              <w:rPr>
                <w:rFonts w:ascii="Aptos" w:hAnsi="Aptos"/>
                <w:b/>
                <w:color w:val="000000"/>
                <w:sz w:val="16"/>
              </w:rPr>
              <w:t>TAGLINE RECOMANDAT</w:t>
              <w:br/>
            </w:r>
            <w:r>
              <w:rPr>
                <w:rFonts w:ascii="Aptos" w:hAnsi="Aptos"/>
                <w:color w:val="000000"/>
                <w:sz w:val="16"/>
              </w:rPr>
              <w:t>GHFF — FILM CONNECTS CULTURES &amp; BUSINESS.</w:t>
              <w:br/>
              <w:t>Variantă de campanie: FOLLOW THE SILK ROAD TO SIGHIȘOARA.</w:t>
            </w:r>
          </w:p>
        </w:tc>
      </w:tr>
    </w:tbl>
    <w:p>
      <w:pPr>
        <w:spacing w:after="0"/>
      </w:pPr>
    </w:p>
    <w:p>
      <w:r>
        <w:rPr>
          <w:color w:val="000000"/>
        </w:rPr>
      </w:r>
    </w:p>
    <w:p>
      <w:pPr>
        <w:pStyle w:val="Kicker"/>
      </w:pPr>
      <w:r>
        <w:rPr>
          <w:color w:val="000000"/>
        </w:rPr>
        <w:t>INSTITUȚIE, NU PROIECT SEZONIER</w:t>
      </w:r>
    </w:p>
    <w:p>
      <w:pPr>
        <w:pStyle w:val="Heading1"/>
        <w:keepNext/>
      </w:pPr>
      <w:r>
        <w:rPr>
          <w:color w:val="000000"/>
        </w:rPr>
        <w:t>5. Guvernanță și structură juridică</w:t>
      </w:r>
    </w:p>
    <w:p>
      <w:pPr>
        <w:pStyle w:val="Argumentare"/>
        <w:keepNext/>
      </w:pPr>
      <w:r>
        <w:t>ARGUMENTARE STRATEGICĂ</w:t>
      </w:r>
    </w:p>
    <w:p>
      <w:pPr>
        <w:pStyle w:val="ArgumentBody"/>
      </w:pPr>
      <w:r>
        <w:t>Un festival care negociază cu instituții publice, ambasade și companii internaționale are nevoie de continuitate juridică și de reguli transparente. O entitate independentă poate contracta multianual, poate păstra proprietatea intelectuală a brandului, poate angaja echipa și poate construi arhiva instituțională de la o ediție la alta. Aceasta reduce dependența proiectului de cicluri electorale sau de schimbările de conducere ale unui singur partener.</w:t>
      </w:r>
    </w:p>
    <w:p>
      <w:pPr>
        <w:pStyle w:val="Argumentare"/>
        <w:keepNext/>
      </w:pPr>
      <w:r>
        <w:t>GUVERNANȚĂ ȘI ÎNCREDERE</w:t>
      </w:r>
    </w:p>
    <w:p>
      <w:pPr>
        <w:pStyle w:val="ArgumentBody"/>
      </w:pPr>
      <w:r>
        <w:t>Separarea Board-ului de managementul executiv este esențială. Board-ul trebuie să apere misiunea, reputația și controlul strategic, în timp ce Festival Director-ul gestionează bugetul și livrarea. Sponsorii și finanțatorii publici au nevoie de politici documentate privind conflictul de interese, achizițiile, selecția furnizorilor și independența editorială. Aceste mecanisme nu sunt birocrație suplimentară; ele sunt infrastructura de încredere care permite finanțări mai mari.</w:t>
      </w:r>
    </w:p>
    <w:p>
      <w:pPr>
        <w:pStyle w:val="Argumentare"/>
        <w:keepNext/>
      </w:pPr>
      <w:r>
        <w:t>PARTENERIAT PUBLIC–PRIVAT</w:t>
      </w:r>
    </w:p>
    <w:p>
      <w:pPr>
        <w:pStyle w:val="ArgumentBody"/>
      </w:pPr>
      <w:r>
        <w:t>Municipiul poate fi partener-gazdă fără a deveni operatorul zilnic al festivalului. Acest model păstrează controlul public asupra utilizării patrimoniului și a resurselor locale, dar lasă producția și programarea unei echipe specializate. Memorandumul multianual ar trebui să definească principii, facilități, proceduri și calendar, fără a substitui aprobările bugetare anuale cerute de lege.</w:t>
      </w:r>
    </w:p>
    <w:p>
      <w:r>
        <w:rPr>
          <w:color w:val="000000"/>
        </w:rPr>
        <w:t>Se recomandă constituirea unei entități juridice independente, non-profit, cu guvernanță transparentă și capacitate de contractare multianuală. Denumire de lucru: SIGHIȘOARA GLOBAL HUB FOUNDATION / GHFF FOUNDATION.</w:t>
      </w:r>
    </w:p>
    <w:tbl>
      <w:tblPr>
        <w:tblStyle w:val="TableGrid"/>
        <w:tblW w:type="auto" w:w="0"/>
        <w:jc w:val="center"/>
        <w:tblLayout w:type="autofit"/>
        <w:tblLook w:firstColumn="1" w:firstRow="1" w:lastColumn="0" w:lastRow="0" w:noHBand="0" w:noVBand="1" w:val="04A0"/>
      </w:tblPr>
      <w:tblGrid>
        <w:gridCol w:w="5184"/>
        <w:gridCol w:w="5184"/>
      </w:tblGrid>
      <w:tr>
        <w:trPr>
          <w:cantSplit/>
          <w:tblHeader w:val="true"/>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Nivel</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Responsabilitate</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Board of Governors</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Strategie, reputație, relații instituționale, fundraising major</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Președinte / Chair</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Reprezentare, parteneriate de nivel înalt</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Festival Director</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P&amp;L, execuție, echipă, livrare integrală</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Artistic Director</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Selecție, competiții, invitați cinematografici</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Industry Director</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Film Market, Co-production Lab, distribuitori</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Business Forum Director</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Companii, camere de comerț, B2B</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International Relations Director</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Ambasade, ministere, delegații, country partners</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Operations Director</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Locații, tehnic, transport, securitate, fluxuri</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Marketing &amp; Communications Director</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Brand, presă, digital, ticketing communication</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Development &amp; Sponsorship Director</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Sponsori, granturi, fundraising</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Finance &amp; Legal</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Buget, achiziții, contracte, compliance</w:t>
            </w:r>
          </w:p>
        </w:tc>
      </w:tr>
    </w:tbl>
    <w:p>
      <w:pPr>
        <w:spacing w:after="0"/>
      </w:pPr>
    </w:p>
    <w:p>
      <w:r>
        <w:rPr>
          <w:color w:val="000000"/>
        </w:rPr>
        <w:t>Board-ul și echipa executivă trebuie separate. Board-ul aprobă strategia și bugetul; echipa executivă răspunde de operare. Conflictul de interese, achizițiile și beneficiile sponsorilor se reglementează prin politici scrise.</w:t>
      </w:r>
    </w:p>
    <w:p>
      <w:r>
        <w:rPr>
          <w:color w:val="000000"/>
        </w:rPr>
      </w:r>
    </w:p>
    <w:p>
      <w:pPr>
        <w:pStyle w:val="Kicker"/>
      </w:pPr>
      <w:r>
        <w:rPr>
          <w:color w:val="000000"/>
        </w:rPr>
        <w:t>RESPONSABILITĂȚI ȘI MANDATE</w:t>
      </w:r>
    </w:p>
    <w:p>
      <w:pPr>
        <w:pStyle w:val="Heading1"/>
        <w:keepNext/>
      </w:pPr>
      <w:r>
        <w:rPr>
          <w:color w:val="000000"/>
        </w:rPr>
        <w:t>6. Organigramă nominală – versiune pentru completare</w:t>
      </w:r>
    </w:p>
    <w:p>
      <w:pPr>
        <w:pStyle w:val="Argumentare"/>
        <w:keepNext/>
      </w:pPr>
      <w:r>
        <w:t>ARGUMENTARE STRATEGICĂ</w:t>
      </w:r>
    </w:p>
    <w:p>
      <w:pPr>
        <w:pStyle w:val="ArgumentBody"/>
      </w:pPr>
      <w:r>
        <w:t>Organigrama este construită pentru responsabilitate, nu pentru titluri. Fiecare linie majoră de risc – artistic, financiar, tehnic, internațional, comercial, securitate și comunicare – trebuie să aibă un proprietar clar. În lipsa acestei delimitări, deciziile se concentrează în jurul unei singure persoane și devin imposibil de controlat într-un eveniment care rulează simultan în mai multe locații.</w:t>
      </w:r>
    </w:p>
    <w:p>
      <w:pPr>
        <w:pStyle w:val="Argumentare"/>
        <w:keepNext/>
      </w:pPr>
      <w:r>
        <w:t>FAZARE A ECHIPEI</w:t>
      </w:r>
    </w:p>
    <w:p>
      <w:pPr>
        <w:pStyle w:val="ArgumentBody"/>
      </w:pPr>
      <w:r>
        <w:t>Nu este eficient ca toate funcțiile să fie angajate cu 12 luni înainte. În prima fază este suficient un nucleu care poate închide parteneriatele, bugetul, programarea și locațiile. Echipa se extinde gradual pe măsură ce programul este confirmat. În ultimele 90 de zile, operațiunile, guest management-ul, venue management-ul și voluntarii devin dominante. Această fazare reduce costurile fixe și păstrează flexibilitatea.</w:t>
      </w:r>
    </w:p>
    <w:p>
      <w:pPr>
        <w:pStyle w:val="Argumentare"/>
        <w:keepNext/>
      </w:pPr>
      <w:r>
        <w:t>CRITERII DE NUMIRE</w:t>
      </w:r>
    </w:p>
    <w:p>
      <w:pPr>
        <w:pStyle w:val="ArgumentBody"/>
      </w:pPr>
      <w:r>
        <w:t>Funcțiile de Artistic Director, Industry Director, Business Forum Director și International Relations trebuie ocupate de persoane cu rețele reale, nu doar cu experiență administrativă. În schimb, Operations și Finance necesită disciplină de proces și experiență în livrarea evenimentelor. Documentul lasă numele necompletate tocmai pentru ca selecția să fie făcută prin criterii și mandat, nu prin presupuneri.</w:t>
      </w:r>
    </w:p>
    <w:p>
      <w:r>
        <w:rPr>
          <w:color w:val="000000"/>
        </w:rPr>
        <w:t>Documentul nu atribuie nume neconfirmate. Tabelul de mai jos este forma nominală ce va fi completată prin mandat, contract sau decizie a organizației.</w:t>
      </w:r>
    </w:p>
    <w:tbl>
      <w:tblPr>
        <w:tblStyle w:val="TableGrid"/>
        <w:tblW w:type="auto" w:w="0"/>
        <w:jc w:val="center"/>
        <w:tblLayout w:type="autofit"/>
        <w:tblLook w:firstColumn="1" w:firstRow="1" w:lastColumn="0" w:lastRow="0" w:noHBand="0" w:noVBand="1" w:val="04A0"/>
      </w:tblPr>
      <w:tblGrid>
        <w:gridCol w:w="3456"/>
        <w:gridCol w:w="3456"/>
        <w:gridCol w:w="3456"/>
      </w:tblGrid>
      <w:tr>
        <w:trPr>
          <w:cantSplit/>
          <w:tblHeader w:val="true"/>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Funcție</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Nume</w:t>
            </w:r>
          </w:p>
        </w:tc>
        <w:tc>
          <w:tcPr>
            <w:tcW w:type="dxa" w:w="46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Mandat principal</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Președinte / Chair</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[de desemnat]</w:t>
            </w:r>
          </w:p>
        </w:tc>
        <w:tc>
          <w:tcPr>
            <w:tcW w:type="dxa" w:w="46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Mandat instituțional, fundraising major</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Festival Director</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[de desemnat]</w:t>
            </w:r>
          </w:p>
        </w:tc>
        <w:tc>
          <w:tcPr>
            <w:tcW w:type="dxa" w:w="46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Conducere executivă, buget și livrare</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Artistic Director</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[de desemnat]</w:t>
            </w:r>
          </w:p>
        </w:tc>
        <w:tc>
          <w:tcPr>
            <w:tcW w:type="dxa" w:w="46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Selecție și identitate cinematografică</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Industry Director</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[de desemnat]</w:t>
            </w:r>
          </w:p>
        </w:tc>
        <w:tc>
          <w:tcPr>
            <w:tcW w:type="dxa" w:w="46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Film Market + Co-production Lab</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Business Forum Director</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[de desemnat]</w:t>
            </w:r>
          </w:p>
        </w:tc>
        <w:tc>
          <w:tcPr>
            <w:tcW w:type="dxa" w:w="46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B2B + parteneriate economice</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International Relations Director</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[de desemnat]</w:t>
            </w:r>
          </w:p>
        </w:tc>
        <w:tc>
          <w:tcPr>
            <w:tcW w:type="dxa" w:w="46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Ambasade + country delegations</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Operations Director</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[de desemnat]</w:t>
            </w:r>
          </w:p>
        </w:tc>
        <w:tc>
          <w:tcPr>
            <w:tcW w:type="dxa" w:w="46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Producție, locații, furnizori</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Technical Director</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[de desemnat]</w:t>
            </w:r>
          </w:p>
        </w:tc>
        <w:tc>
          <w:tcPr>
            <w:tcW w:type="dxa" w:w="46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Cinema, DCP, proiecție, sunet, outdoor</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Hospitality &amp; Protocol Manager</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[de desemnat]</w:t>
            </w:r>
          </w:p>
        </w:tc>
        <w:tc>
          <w:tcPr>
            <w:tcW w:type="dxa" w:w="46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Invitați, hoteluri, protocol</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Marketing Director</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[de desemnat]</w:t>
            </w:r>
          </w:p>
        </w:tc>
        <w:tc>
          <w:tcPr>
            <w:tcW w:type="dxa" w:w="46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Brand, campanie, ticketing</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Press &amp; Content Director</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[de desemnat]</w:t>
            </w:r>
          </w:p>
        </w:tc>
        <w:tc>
          <w:tcPr>
            <w:tcW w:type="dxa" w:w="46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Media center, daily, live content</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Sponsorship Manager</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[de desemnat]</w:t>
            </w:r>
          </w:p>
        </w:tc>
        <w:tc>
          <w:tcPr>
            <w:tcW w:type="dxa" w:w="46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Pachete și account management</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Finance Manager / CFO</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[de desemnat]</w:t>
            </w:r>
          </w:p>
        </w:tc>
        <w:tc>
          <w:tcPr>
            <w:tcW w:type="dxa" w:w="46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Cash-flow, raportare, control</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Legal &amp; Compliance</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[de desemnat]</w:t>
            </w:r>
          </w:p>
        </w:tc>
        <w:tc>
          <w:tcPr>
            <w:tcW w:type="dxa" w:w="46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Contracte, GDPR, drepturi, asigurări</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Volunteer Manager</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[de desemnat]</w:t>
            </w:r>
          </w:p>
        </w:tc>
        <w:tc>
          <w:tcPr>
            <w:tcW w:type="dxa" w:w="46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150–300 voluntari</w:t>
            </w:r>
          </w:p>
        </w:tc>
      </w:tr>
      <w:tr>
        <w:trPr>
          <w:cantSplit/>
        </w:trPr>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Digital Product Lead</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[de desemnat]</w:t>
            </w:r>
          </w:p>
        </w:tc>
        <w:tc>
          <w:tcPr>
            <w:tcW w:type="dxa" w:w="46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App, accreditation, matchmaking</w:t>
            </w:r>
          </w:p>
        </w:tc>
      </w:tr>
    </w:tbl>
    <w:p>
      <w:pPr>
        <w:spacing w:after="0"/>
      </w:pPr>
    </w:p>
    <w:tbl>
      <w:tblPr>
        <w:tblW w:type="auto" w:w="0"/>
        <w:jc w:val="center"/>
        <w:tblLayout w:type="autofit"/>
        <w:tblLook w:firstColumn="1" w:firstRow="1" w:lastColumn="0" w:lastRow="0" w:noHBand="0" w:noVBand="1" w:val="04A0"/>
      </w:tblPr>
      <w:tblGrid>
        <w:gridCol w:w="10368"/>
      </w:tblGrid>
      <w:tr>
        <w:trPr>
          <w:cantSplit/>
        </w:trPr>
        <w:tc>
          <w:tcPr>
            <w:tcW w:type="dxa" w:w="10368"/>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vAlign w:val="center"/>
          </w:tcPr>
          <w:p>
            <w:pPr>
              <w:spacing w:after="40" w:before="20"/>
            </w:pPr>
            <w:r>
              <w:rPr>
                <w:rFonts w:ascii="Aptos" w:hAnsi="Aptos"/>
                <w:color w:val="000000"/>
                <w:sz w:val="16"/>
              </w:rPr>
            </w:r>
            <w:r>
              <w:rPr>
                <w:rFonts w:ascii="Aptos" w:hAnsi="Aptos"/>
                <w:b/>
                <w:color w:val="000000"/>
                <w:sz w:val="16"/>
              </w:rPr>
              <w:t>ECHIPĂ CORE</w:t>
              <w:br/>
            </w:r>
            <w:r>
              <w:rPr>
                <w:rFonts w:ascii="Aptos" w:hAnsi="Aptos"/>
                <w:color w:val="000000"/>
                <w:sz w:val="16"/>
              </w:rPr>
              <w:t>În faza T–12 / T–9 luni este suficient un nucleu de 6–8 persoane. Echipa completă se scalează gradual spre aproximativ 35–50 de contractori / staff în pre-festival și 150–300 voluntari în festival.</w:t>
            </w:r>
          </w:p>
        </w:tc>
      </w:tr>
    </w:tbl>
    <w:p>
      <w:pPr>
        <w:spacing w:after="0"/>
      </w:pPr>
    </w:p>
    <w:p>
      <w:r>
        <w:rPr>
          <w:color w:val="000000"/>
        </w:rPr>
      </w:r>
    </w:p>
    <w:p>
      <w:pPr>
        <w:pStyle w:val="Kicker"/>
      </w:pPr>
      <w:r>
        <w:rPr>
          <w:color w:val="000000"/>
        </w:rPr>
        <w:t>RITM ZILNIC ȘI EXPERIENȚĂ INTEGRATĂ</w:t>
      </w:r>
    </w:p>
    <w:p>
      <w:pPr>
        <w:pStyle w:val="Heading1"/>
        <w:keepNext/>
      </w:pPr>
      <w:r>
        <w:rPr>
          <w:color w:val="000000"/>
        </w:rPr>
        <w:t>7. Arhitectura programului de 14 zile</w:t>
      </w:r>
    </w:p>
    <w:p>
      <w:pPr>
        <w:pStyle w:val="Argumentare"/>
        <w:keepNext/>
      </w:pPr>
      <w:r>
        <w:t>ARGUMENTARE STRATEGICĂ</w:t>
      </w:r>
    </w:p>
    <w:p>
      <w:pPr>
        <w:pStyle w:val="ArgumentBody"/>
      </w:pPr>
      <w:r>
        <w:t>Cele 14 zile reprezintă o durată neobișnuit de generoasă și trebuie tratate ca avantaj numai dacă programul are ritm. Simpla multiplicare a proiecțiilor ar obosi publicul și echipa. De aceea, arhitectura zilnică alternează cinema, industrie, business și spațiu public, permițând participanților să construiască o zi întreagă în festival și oferind orașului fluxuri de vizitatori pe parcursul întregii zile.</w:t>
      </w:r>
    </w:p>
    <w:p>
      <w:pPr>
        <w:pStyle w:val="Argumentare"/>
        <w:keepNext/>
      </w:pPr>
      <w:r>
        <w:t>PROGRAMAREA CA SISTEM DE FLUX</w:t>
      </w:r>
    </w:p>
    <w:p>
      <w:pPr>
        <w:pStyle w:val="ArgumentBody"/>
      </w:pPr>
      <w:r>
        <w:t>Intervalele dintre evenimente sunt instrument operațional. Ele trebuie să permită deplasarea pietonală, schimbarea sălilor, întâlnirile spontane, consumul în horeca și resetarea tehnică. Gala nu trebuie programată în competiție cu sesiunea B2B principală, iar evenimentele de interes local trebuie plasate astfel încât să nu blocheze accesul profesioniștilor la activități acreditate. Programarea este, în acest sens, și urbanism temporar.</w:t>
      </w:r>
    </w:p>
    <w:p>
      <w:pPr>
        <w:pStyle w:val="Argumentare"/>
        <w:keepNext/>
      </w:pPr>
      <w:r>
        <w:t>SUSTENABILITATE UMANĂ</w:t>
      </w:r>
    </w:p>
    <w:p>
      <w:pPr>
        <w:pStyle w:val="ArgumentBody"/>
      </w:pPr>
      <w:r>
        <w:t>Un festival de 14 zile trebuie să prevadă rotații de echipă, zile cu intensitate redusă și planuri de back-up. Oboseala operațională este un risc de calitate și siguranță. Calendarul final trebuie construit nu doar în funcție de ceea ce poate fi programat, ci și de ceea ce poate fi livrat constant la standard profesional.</w:t>
      </w:r>
    </w:p>
    <w:tbl>
      <w:tblPr>
        <w:tblStyle w:val="TableGrid"/>
        <w:tblW w:type="auto" w:w="0"/>
        <w:jc w:val="center"/>
        <w:tblLayout w:type="autofit"/>
        <w:tblLook w:firstColumn="1" w:firstRow="1" w:lastColumn="0" w:lastRow="0" w:noHBand="0" w:noVBand="1" w:val="04A0"/>
      </w:tblPr>
      <w:tblGrid>
        <w:gridCol w:w="5184"/>
        <w:gridCol w:w="5184"/>
      </w:tblGrid>
      <w:tr>
        <w:trPr>
          <w:cantSplit/>
          <w:tblHeader w:val="true"/>
        </w:trPr>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Oră</w:t>
            </w:r>
          </w:p>
        </w:tc>
        <w:tc>
          <w:tcPr>
            <w:tcW w:type="dxa" w:w="806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Program-tip</w:t>
            </w:r>
          </w:p>
        </w:tc>
      </w:tr>
      <w:tr>
        <w:trPr>
          <w:cantSplit/>
        </w:trPr>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09:00</w:t>
            </w:r>
          </w:p>
        </w:tc>
        <w:tc>
          <w:tcPr>
            <w:tcW w:type="dxa" w:w="806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Industry / Business Breakfast</w:t>
            </w:r>
          </w:p>
        </w:tc>
      </w:tr>
      <w:tr>
        <w:trPr>
          <w:cantSplit/>
        </w:trPr>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10:00</w:t>
            </w:r>
          </w:p>
        </w:tc>
        <w:tc>
          <w:tcPr>
            <w:tcW w:type="dxa" w:w="806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Documentary / Discovery Screening</w:t>
            </w:r>
          </w:p>
        </w:tc>
      </w:tr>
      <w:tr>
        <w:trPr>
          <w:cantSplit/>
        </w:trPr>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11:00</w:t>
            </w:r>
          </w:p>
        </w:tc>
        <w:tc>
          <w:tcPr>
            <w:tcW w:type="dxa" w:w="806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Business Forum / Country Roundtable</w:t>
            </w:r>
          </w:p>
        </w:tc>
      </w:tr>
      <w:tr>
        <w:trPr>
          <w:cantSplit/>
        </w:trPr>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12:00</w:t>
            </w:r>
          </w:p>
        </w:tc>
        <w:tc>
          <w:tcPr>
            <w:tcW w:type="dxa" w:w="806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Family / Animation / Student Screening</w:t>
            </w:r>
          </w:p>
        </w:tc>
      </w:tr>
      <w:tr>
        <w:trPr>
          <w:cantSplit/>
        </w:trPr>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13:00</w:t>
            </w:r>
          </w:p>
        </w:tc>
        <w:tc>
          <w:tcPr>
            <w:tcW w:type="dxa" w:w="806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Networking Lunch</w:t>
            </w:r>
          </w:p>
        </w:tc>
      </w:tr>
      <w:tr>
        <w:trPr>
          <w:cantSplit/>
        </w:trPr>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14:00</w:t>
            </w:r>
          </w:p>
        </w:tc>
        <w:tc>
          <w:tcPr>
            <w:tcW w:type="dxa" w:w="806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Country Focus Film</w:t>
            </w:r>
          </w:p>
        </w:tc>
      </w:tr>
      <w:tr>
        <w:trPr>
          <w:cantSplit/>
        </w:trPr>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15:30</w:t>
            </w:r>
          </w:p>
        </w:tc>
        <w:tc>
          <w:tcPr>
            <w:tcW w:type="dxa" w:w="806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Masterclass / GHFF Talks</w:t>
            </w:r>
          </w:p>
        </w:tc>
      </w:tr>
      <w:tr>
        <w:trPr>
          <w:cantSplit/>
        </w:trPr>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16:30</w:t>
            </w:r>
          </w:p>
        </w:tc>
        <w:tc>
          <w:tcPr>
            <w:tcW w:type="dxa" w:w="806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Official Competition</w:t>
            </w:r>
          </w:p>
        </w:tc>
      </w:tr>
      <w:tr>
        <w:trPr>
          <w:cantSplit/>
        </w:trPr>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18:30</w:t>
            </w:r>
          </w:p>
        </w:tc>
        <w:tc>
          <w:tcPr>
            <w:tcW w:type="dxa" w:w="806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Reception / Red Carpet / Cultural Program</w:t>
            </w:r>
          </w:p>
        </w:tc>
      </w:tr>
      <w:tr>
        <w:trPr>
          <w:cantSplit/>
        </w:trPr>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20:00</w:t>
            </w:r>
          </w:p>
        </w:tc>
        <w:tc>
          <w:tcPr>
            <w:tcW w:type="dxa" w:w="806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Country Gala Film</w:t>
            </w:r>
          </w:p>
        </w:tc>
      </w:tr>
      <w:tr>
        <w:trPr>
          <w:cantSplit/>
        </w:trPr>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22:15</w:t>
            </w:r>
          </w:p>
        </w:tc>
        <w:tc>
          <w:tcPr>
            <w:tcW w:type="dxa" w:w="806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ROMANIA EVERY NIGHT – film românesc</w:t>
            </w:r>
          </w:p>
        </w:tc>
      </w:tr>
      <w:tr>
        <w:trPr>
          <w:cantSplit/>
        </w:trPr>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00:00</w:t>
            </w:r>
          </w:p>
        </w:tc>
        <w:tc>
          <w:tcPr>
            <w:tcW w:type="dxa" w:w="806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GHFF Nights / networking</w:t>
            </w:r>
          </w:p>
        </w:tc>
      </w:tr>
    </w:tbl>
    <w:p>
      <w:pPr>
        <w:spacing w:after="0"/>
      </w:pPr>
    </w:p>
    <w:p>
      <w:r>
        <w:rPr>
          <w:color w:val="000000"/>
        </w:rPr>
        <w:t>Nu toate spațiile funcționează simultan la aceeași intensitate. Programarea trebuie să creeze „valuri” de public între Cetate, săli și zona Industry, cu minimum 20–30 minute între evenimentele majore.</w:t>
      </w:r>
    </w:p>
    <w:tbl>
      <w:tblPr>
        <w:tblW w:type="auto" w:w="0"/>
        <w:jc w:val="center"/>
        <w:tblLayout w:type="autofit"/>
        <w:tblLook w:firstColumn="1" w:firstRow="1" w:lastColumn="0" w:lastRow="0" w:noHBand="0" w:noVBand="1" w:val="04A0"/>
      </w:tblPr>
      <w:tblGrid>
        <w:gridCol w:w="10368"/>
      </w:tblGrid>
      <w:tr>
        <w:trPr>
          <w:cantSplit/>
        </w:trPr>
        <w:tc>
          <w:tcPr>
            <w:tcW w:type="dxa" w:w="10368"/>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vAlign w:val="center"/>
          </w:tcPr>
          <w:p>
            <w:pPr>
              <w:spacing w:after="40" w:before="20"/>
            </w:pPr>
            <w:r>
              <w:rPr>
                <w:rFonts w:ascii="Aptos" w:hAnsi="Aptos"/>
                <w:color w:val="000000"/>
                <w:sz w:val="16"/>
              </w:rPr>
            </w:r>
            <w:r>
              <w:rPr>
                <w:rFonts w:ascii="Aptos" w:hAnsi="Aptos"/>
                <w:b/>
                <w:color w:val="000000"/>
                <w:sz w:val="16"/>
              </w:rPr>
              <w:t>REGULA DE AUR</w:t>
              <w:br/>
            </w:r>
            <w:r>
              <w:rPr>
                <w:rFonts w:ascii="Aptos" w:hAnsi="Aptos"/>
                <w:color w:val="000000"/>
                <w:sz w:val="16"/>
              </w:rPr>
              <w:t>În fiecare zi trebuie să existe simultan CINEMA + CULTURĂ + INDUSTRY + BUSINESS + PUBLIC EVENT. Ultimul film major al serii este românesc.</w:t>
            </w:r>
          </w:p>
        </w:tc>
      </w:tr>
    </w:tbl>
    <w:p>
      <w:pPr>
        <w:spacing w:after="0"/>
      </w:pPr>
    </w:p>
    <w:p>
      <w:r>
        <w:rPr>
          <w:color w:val="000000"/>
        </w:rPr>
      </w:r>
    </w:p>
    <w:p>
      <w:pPr>
        <w:pStyle w:val="Kicker"/>
      </w:pPr>
      <w:r>
        <w:rPr>
          <w:color w:val="000000"/>
        </w:rPr>
        <w:t>COUNTRY FOCUS + ROMÂNIA</w:t>
      </w:r>
    </w:p>
    <w:p>
      <w:pPr>
        <w:pStyle w:val="Heading1"/>
        <w:keepNext/>
      </w:pPr>
      <w:r>
        <w:rPr>
          <w:color w:val="000000"/>
        </w:rPr>
        <w:t>8. Calendar editorial – Zilele 1–5</w:t>
      </w:r>
    </w:p>
    <w:p>
      <w:pPr>
        <w:pStyle w:val="Argumentare"/>
        <w:keepNext/>
      </w:pPr>
      <w:r>
        <w:t>ARGUMENTARE STRATEGICĂ</w:t>
      </w:r>
    </w:p>
    <w:p>
      <w:pPr>
        <w:pStyle w:val="ArgumentBody"/>
      </w:pPr>
      <w:r>
        <w:t>Primele cinci zile au rolul de a stabili promisiunea festivalului: fiecare țară invitată este prezentată ca ecosistem, nu ca folclor. Filmul oferă contextul narativ, iar businessul, gastronomia, muzica și dialogul instituțional extind relația. Această structură oferă ambasadelor și delegațiilor un motiv concret de a participa cu mai multe categorii de reprezentanți.</w:t>
      </w:r>
    </w:p>
    <w:p>
      <w:pPr>
        <w:pStyle w:val="Argumentare"/>
        <w:keepNext/>
      </w:pPr>
      <w:r>
        <w:t>ROMANIA EVERY NIGHT</w:t>
      </w:r>
    </w:p>
    <w:p>
      <w:pPr>
        <w:pStyle w:val="ArgumentBody"/>
      </w:pPr>
      <w:r>
        <w:t>Închiderea fiecărei seri cu un film românesc este o decizie de politică culturală și de branding. Invitații internaționali sunt deja în sală, deci costul marginal pentru exportul cinematografiei românești este redus. În loc ca România să aibă o singură zi națională, ea este prezentă transversal în toate cele 14 zile. Selecția trebuie însă curatoriată în funcție de diversitate de gen, generație și accesibilitate, pentru a evita repetarea unei singure imagini despre cinemaul românesc.</w:t>
      </w:r>
    </w:p>
    <w:p>
      <w:pPr>
        <w:pStyle w:val="Argumentare"/>
        <w:keepNext/>
      </w:pPr>
      <w:r>
        <w:t>COUNTRY DAY CA PRODUS</w:t>
      </w:r>
    </w:p>
    <w:p>
      <w:pPr>
        <w:pStyle w:val="ArgumentBody"/>
      </w:pPr>
      <w:r>
        <w:t>Fiecare Country Day trebuie să aibă un responsabil de program, un buget transparent și un set de livrabile. Filmul de gală, delegația, activarea culturală și întâlnirea economică nu sunt elemente independente; ele trebuie comunicate împreună și negociate cu partenerul de țară ca un pachet coerent.</w:t>
      </w:r>
    </w:p>
    <w:tbl>
      <w:tblPr>
        <w:tblStyle w:val="TableGrid"/>
        <w:tblW w:type="auto" w:w="0"/>
        <w:jc w:val="center"/>
        <w:tblLayout w:type="autofit"/>
        <w:tblLook w:firstColumn="1" w:firstRow="1" w:lastColumn="0" w:lastRow="0" w:noHBand="0" w:noVBand="1" w:val="04A0"/>
      </w:tblPr>
      <w:tblGrid>
        <w:gridCol w:w="3456"/>
        <w:gridCol w:w="3456"/>
        <w:gridCol w:w="3456"/>
      </w:tblGrid>
      <w:tr>
        <w:trPr>
          <w:cantSplit/>
          <w:tblHeader w:val="true"/>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Zi</w:t>
            </w:r>
          </w:p>
        </w:tc>
        <w:tc>
          <w:tcPr>
            <w:tcW w:type="dxa" w:w="244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Focus</w:t>
            </w:r>
          </w:p>
        </w:tc>
        <w:tc>
          <w:tcPr>
            <w:tcW w:type="dxa" w:w="61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Conținut principal</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Ziua 1</w:t>
            </w:r>
          </w:p>
        </w:tc>
        <w:tc>
          <w:tcPr>
            <w:tcW w:type="dxa" w:w="244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ROMANIA / GLOBAL OPENING</w:t>
            </w:r>
          </w:p>
        </w:tc>
        <w:tc>
          <w:tcPr>
            <w:tcW w:type="dxa" w:w="61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Opening Ceremony; film internațional de deschidere; manifest; recepție diplomatică; Romanian Opening Selection</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Ziua 2</w:t>
            </w:r>
          </w:p>
        </w:tc>
        <w:tc>
          <w:tcPr>
            <w:tcW w:type="dxa" w:w="244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KAZAKHSTAN DAY</w:t>
            </w:r>
          </w:p>
        </w:tc>
        <w:tc>
          <w:tcPr>
            <w:tcW w:type="dxa" w:w="61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Cinema kazah; forum bilateral; turism/investiții; gastronomie; Gala Kazakhstan; film românesc</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Ziua 3</w:t>
            </w:r>
          </w:p>
        </w:tc>
        <w:tc>
          <w:tcPr>
            <w:tcW w:type="dxa" w:w="244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UZBEKISTAN DAY</w:t>
            </w:r>
          </w:p>
        </w:tc>
        <w:tc>
          <w:tcPr>
            <w:tcW w:type="dxa" w:w="61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Cinema uzbek; patrimoniu / Silk Road; textile, turism, creative economy; gală; film românesc</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Ziua 4</w:t>
            </w:r>
          </w:p>
        </w:tc>
        <w:tc>
          <w:tcPr>
            <w:tcW w:type="dxa" w:w="244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KYRGYZSTAN DAY</w:t>
            </w:r>
          </w:p>
        </w:tc>
        <w:tc>
          <w:tcPr>
            <w:tcW w:type="dxa" w:w="61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Cinema; natură / mountain locations; film commissions; workshop; gală; film românesc</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Ziua 5</w:t>
            </w:r>
          </w:p>
        </w:tc>
        <w:tc>
          <w:tcPr>
            <w:tcW w:type="dxa" w:w="244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TAJIKISTAN DAY</w:t>
            </w:r>
          </w:p>
        </w:tc>
        <w:tc>
          <w:tcPr>
            <w:tcW w:type="dxa" w:w="61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Film, fotografie, patrimoniu, cultură persană și asiatică; dialog academic; film românesc</w:t>
            </w:r>
          </w:p>
        </w:tc>
      </w:tr>
    </w:tbl>
    <w:p>
      <w:pPr>
        <w:spacing w:after="0"/>
      </w:pPr>
    </w:p>
    <w:p>
      <w:pPr>
        <w:pStyle w:val="Heading2"/>
        <w:keepNext/>
      </w:pPr>
      <w:r>
        <w:rPr>
          <w:color w:val="000000"/>
        </w:rPr>
        <w:t>Pattern zilnic</w:t>
      </w:r>
    </w:p>
    <w:p>
      <w:pPr>
        <w:pStyle w:val="ListBullet"/>
        <w:spacing w:after="36"/>
      </w:pPr>
      <w:r>
        <w:rPr>
          <w:color w:val="000000"/>
          <w:sz w:val="18"/>
        </w:rPr>
        <w:t>1 film reprezentativ / retrospectivă</w:t>
      </w:r>
    </w:p>
    <w:p>
      <w:pPr>
        <w:pStyle w:val="ListBullet"/>
        <w:spacing w:after="36"/>
      </w:pPr>
      <w:r>
        <w:rPr>
          <w:color w:val="000000"/>
          <w:sz w:val="18"/>
        </w:rPr>
        <w:t>1 întâlnire instituțională sau economică</w:t>
      </w:r>
    </w:p>
    <w:p>
      <w:pPr>
        <w:pStyle w:val="ListBullet"/>
        <w:spacing w:after="36"/>
      </w:pPr>
      <w:r>
        <w:rPr>
          <w:color w:val="000000"/>
          <w:sz w:val="18"/>
        </w:rPr>
        <w:t>1 activare culturală / gastronomică</w:t>
      </w:r>
    </w:p>
    <w:p>
      <w:pPr>
        <w:pStyle w:val="ListBullet"/>
        <w:spacing w:after="36"/>
      </w:pPr>
      <w:r>
        <w:rPr>
          <w:color w:val="000000"/>
          <w:sz w:val="18"/>
        </w:rPr>
        <w:t>1 întâlnire Industry / coproducție</w:t>
      </w:r>
    </w:p>
    <w:p>
      <w:pPr>
        <w:pStyle w:val="ListBullet"/>
        <w:spacing w:after="36"/>
      </w:pPr>
      <w:r>
        <w:rPr>
          <w:color w:val="000000"/>
          <w:sz w:val="18"/>
        </w:rPr>
        <w:t>1 gala film al țării</w:t>
      </w:r>
    </w:p>
    <w:p>
      <w:pPr>
        <w:pStyle w:val="ListBullet"/>
        <w:spacing w:after="36"/>
      </w:pPr>
      <w:r>
        <w:rPr>
          <w:color w:val="000000"/>
          <w:sz w:val="18"/>
        </w:rPr>
        <w:t>1 Romanian Night Film</w:t>
      </w:r>
    </w:p>
    <w:p>
      <w:r>
        <w:rPr>
          <w:color w:val="000000"/>
        </w:rPr>
      </w:r>
    </w:p>
    <w:p>
      <w:pPr>
        <w:pStyle w:val="Kicker"/>
      </w:pPr>
      <w:r>
        <w:rPr>
          <w:color w:val="000000"/>
        </w:rPr>
        <w:t>EXTINDEREA CORIDORULUI EUROPA–ASIA</w:t>
      </w:r>
    </w:p>
    <w:p>
      <w:pPr>
        <w:pStyle w:val="Heading1"/>
        <w:keepNext/>
      </w:pPr>
      <w:r>
        <w:rPr>
          <w:color w:val="000000"/>
        </w:rPr>
        <w:t>9. Calendar editorial – Zilele 6–10</w:t>
      </w:r>
    </w:p>
    <w:p>
      <w:pPr>
        <w:pStyle w:val="Argumentare"/>
        <w:keepNext/>
      </w:pPr>
      <w:r>
        <w:t>ARGUMENTARE STRATEGICĂ</w:t>
      </w:r>
    </w:p>
    <w:p>
      <w:pPr>
        <w:pStyle w:val="ArgumentBody"/>
      </w:pPr>
      <w:r>
        <w:t>Zilele 6–10 extind geografia fără a pierde identitatea. Termenul „-stan” funcționează ca ancoră memorabilă, dar proiectul nu trebuie să devină prizonierul unei clasificări lingvistice. Coridorul eurasiatic este definit de relații istorice, comerciale, cinematografice și culturale, iar programul poate include state vecine atunci când există o justificare curatorială clară.</w:t>
      </w:r>
    </w:p>
    <w:p>
      <w:pPr>
        <w:pStyle w:val="Argumentare"/>
        <w:keepNext/>
      </w:pPr>
      <w:r>
        <w:t>ECHILIBRU ȘI SENSIBILITATE</w:t>
      </w:r>
    </w:p>
    <w:p>
      <w:pPr>
        <w:pStyle w:val="ArgumentBody"/>
      </w:pPr>
      <w:r>
        <w:t>Unele țări sau teme implică contexte politice și sociale sensibile. Festivalul trebuie să opereze cu reguli curatoriale transparente, expertiză locală și protejarea independenței artistice. Participarea unei ambasade nu echivalează cu control editorial, iar includerea unui film critic nu trebuie interpretată automat ca poziție diplomatică a organizatorului. Această distanță profesională este necesară pentru credibilitate.</w:t>
      </w:r>
    </w:p>
    <w:p>
      <w:pPr>
        <w:pStyle w:val="Argumentare"/>
        <w:keepNext/>
      </w:pPr>
      <w:r>
        <w:t>VALOARE PENTRU PUBLIC</w:t>
      </w:r>
    </w:p>
    <w:p>
      <w:pPr>
        <w:pStyle w:val="ArgumentBody"/>
      </w:pPr>
      <w:r>
        <w:t>Extinderea spre zile tematice – Women in Film, Silk Road, diaspora, patrimoniu – permite publicului să urmărească idei și nu doar steaguri. Astfel, festivalul evită structura rigidă de expo național și creează conexiuni între cinematografii, generații și probleme comune.</w:t>
      </w:r>
    </w:p>
    <w:tbl>
      <w:tblPr>
        <w:tblStyle w:val="TableGrid"/>
        <w:tblW w:type="auto" w:w="0"/>
        <w:jc w:val="center"/>
        <w:tblLayout w:type="autofit"/>
        <w:tblLook w:firstColumn="1" w:firstRow="1" w:lastColumn="0" w:lastRow="0" w:noHBand="0" w:noVBand="1" w:val="04A0"/>
      </w:tblPr>
      <w:tblGrid>
        <w:gridCol w:w="3456"/>
        <w:gridCol w:w="3456"/>
        <w:gridCol w:w="3456"/>
      </w:tblGrid>
      <w:tr>
        <w:trPr>
          <w:cantSplit/>
          <w:tblHeader w:val="true"/>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Zi</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Focus</w:t>
            </w:r>
          </w:p>
        </w:tc>
        <w:tc>
          <w:tcPr>
            <w:tcW w:type="dxa" w:w="604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Conținut principal</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Ziua 6</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TURKMENISTAN DAY</w:t>
            </w:r>
          </w:p>
        </w:tc>
        <w:tc>
          <w:tcPr>
            <w:tcW w:type="dxa" w:w="604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Cinema, arte decorative, patrimoniu, dialog economic; gala + film românesc</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Ziua 7</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PAKISTAN DAY</w:t>
            </w:r>
          </w:p>
        </w:tc>
        <w:tc>
          <w:tcPr>
            <w:tcW w:type="dxa" w:w="604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Film, muzică, modă, IT, industrii creative, antreprenoriat; gala + film românesc</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Ziua 8</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AFGHAN CULTURE DAY</w:t>
            </w:r>
          </w:p>
        </w:tc>
        <w:tc>
          <w:tcPr>
            <w:tcW w:type="dxa" w:w="604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Documentar, patrimoniu, diaspora, poezie, fotografie; program curatorial sensibil; film românesc</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Ziua 9</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SILK ROAD DAY</w:t>
            </w:r>
          </w:p>
        </w:tc>
        <w:tc>
          <w:tcPr>
            <w:tcW w:type="dxa" w:w="604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Georgia, Azerbaidjan, Armenia, Turcia, Mongolia, China și invitați tematici; panel-uri regionale</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Ziua 10</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WOMEN IN FILM</w:t>
            </w:r>
          </w:p>
        </w:tc>
        <w:tc>
          <w:tcPr>
            <w:tcW w:type="dxa" w:w="604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Regizoare, producătoare, actrițe, antreprenoare; competiție și forum de leadership</w:t>
            </w:r>
          </w:p>
        </w:tc>
      </w:tr>
    </w:tbl>
    <w:p>
      <w:pPr>
        <w:spacing w:after="0"/>
      </w:pPr>
    </w:p>
    <w:tbl>
      <w:tblPr>
        <w:tblW w:type="auto" w:w="0"/>
        <w:jc w:val="center"/>
        <w:tblLayout w:type="autofit"/>
        <w:tblLook w:firstColumn="1" w:firstRow="1" w:lastColumn="0" w:lastRow="0" w:noHBand="0" w:noVBand="1" w:val="04A0"/>
      </w:tblPr>
      <w:tblGrid>
        <w:gridCol w:w="10368"/>
      </w:tblGrid>
      <w:tr>
        <w:trPr>
          <w:cantSplit/>
        </w:trPr>
        <w:tc>
          <w:tcPr>
            <w:tcW w:type="dxa" w:w="10368"/>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vAlign w:val="center"/>
          </w:tcPr>
          <w:p>
            <w:pPr>
              <w:spacing w:after="40" w:before="20"/>
            </w:pPr>
            <w:r>
              <w:rPr>
                <w:rFonts w:ascii="Aptos" w:hAnsi="Aptos"/>
                <w:color w:val="000000"/>
                <w:sz w:val="16"/>
              </w:rPr>
            </w:r>
            <w:r>
              <w:rPr>
                <w:rFonts w:ascii="Aptos" w:hAnsi="Aptos"/>
                <w:b/>
                <w:color w:val="000000"/>
                <w:sz w:val="16"/>
              </w:rPr>
              <w:t>CURATORIAL</w:t>
              <w:br/>
            </w:r>
            <w:r>
              <w:rPr>
                <w:rFonts w:ascii="Aptos" w:hAnsi="Aptos"/>
                <w:color w:val="000000"/>
                <w:sz w:val="16"/>
              </w:rPr>
              <w:t>„-stan” este accentul distinctiv, nu o limită rigidă. Extinderea către Caucaz, Turcia, Mongolia și alte piețe trebuie să servească ideii de coridor eurasiatic și relației cu Europa, fără a dilua identitatea central-asiatică.</w:t>
            </w:r>
          </w:p>
        </w:tc>
      </w:tr>
    </w:tbl>
    <w:p>
      <w:pPr>
        <w:spacing w:after="0"/>
      </w:pPr>
    </w:p>
    <w:p>
      <w:r>
        <w:rPr>
          <w:color w:val="000000"/>
        </w:rPr>
      </w:r>
    </w:p>
    <w:p>
      <w:pPr>
        <w:pStyle w:val="Kicker"/>
      </w:pPr>
      <w:r>
        <w:rPr>
          <w:color w:val="000000"/>
        </w:rPr>
        <w:t>VIITOR, COPRODUCȚIE, PREMII</w:t>
      </w:r>
    </w:p>
    <w:p>
      <w:pPr>
        <w:pStyle w:val="Heading1"/>
        <w:keepNext/>
      </w:pPr>
      <w:r>
        <w:rPr>
          <w:color w:val="000000"/>
        </w:rPr>
        <w:t>10. Calendar editorial – Zilele 11–14</w:t>
      </w:r>
    </w:p>
    <w:p>
      <w:pPr>
        <w:pStyle w:val="Argumentare"/>
        <w:keepNext/>
      </w:pPr>
      <w:r>
        <w:t>ARGUMENTARE STRATEGICĂ</w:t>
      </w:r>
    </w:p>
    <w:p>
      <w:pPr>
        <w:pStyle w:val="ArgumentBody"/>
      </w:pPr>
      <w:r>
        <w:t>Ultimele patru zile schimbă centrul de greutate de la prezentare la producerea viitorului. Next Generation, Business Day și Co-production Day creează motive pentru ca participanții profesioniști să rămână mai mult în Sighișoara și să transforme contactele din prima săptămână în proiecte, contracte sau colaborări.</w:t>
      </w:r>
    </w:p>
    <w:p>
      <w:pPr>
        <w:pStyle w:val="Argumentare"/>
        <w:keepNext/>
      </w:pPr>
      <w:r>
        <w:t>LOGICA FINALULUI</w:t>
      </w:r>
    </w:p>
    <w:p>
      <w:pPr>
        <w:pStyle w:val="ArgumentBody"/>
      </w:pPr>
      <w:r>
        <w:t>Ceremonia de premiere trebuie să fie rezultatul natural al celor 14 zile, nu singurul moment de maximă vizibilitate. Premiile trebuie să recompenseze atât excelența artistică, cât și capacitatea de a construi punți culturale, fără a amesteca criteriile. Juriile trebuie separate acolo unde misiunile premiilor sunt diferite.</w:t>
      </w:r>
    </w:p>
    <w:p>
      <w:pPr>
        <w:pStyle w:val="Argumentare"/>
        <w:keepNext/>
      </w:pPr>
      <w:r>
        <w:t>CONTINUITATE</w:t>
      </w:r>
    </w:p>
    <w:p>
      <w:pPr>
        <w:pStyle w:val="ArgumentBody"/>
      </w:pPr>
      <w:r>
        <w:t>În ultima zi se anunță nu doar câștigătorii, ci și următorul ciclu: țara sau țările de onoare, apelurile pentru proiecte și data orientativă a ediției următoare. Astfel, închiderea devine începutul ediției viitoare și reduce pierderea de momentum după festival.</w:t>
      </w:r>
    </w:p>
    <w:tbl>
      <w:tblPr>
        <w:tblStyle w:val="TableGrid"/>
        <w:tblW w:type="auto" w:w="0"/>
        <w:jc w:val="center"/>
        <w:tblLayout w:type="autofit"/>
        <w:tblLook w:firstColumn="1" w:firstRow="1" w:lastColumn="0" w:lastRow="0" w:noHBand="0" w:noVBand="1" w:val="04A0"/>
      </w:tblPr>
      <w:tblGrid>
        <w:gridCol w:w="3456"/>
        <w:gridCol w:w="3456"/>
        <w:gridCol w:w="3456"/>
      </w:tblGrid>
      <w:tr>
        <w:trPr>
          <w:cantSplit/>
          <w:tblHeader w:val="true"/>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Zi</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Focus</w:t>
            </w:r>
          </w:p>
        </w:tc>
        <w:tc>
          <w:tcPr>
            <w:tcW w:type="dxa" w:w="604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Conținut principal</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Ziua 11</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NEXT GENERATION</w:t>
            </w:r>
          </w:p>
        </w:tc>
        <w:tc>
          <w:tcPr>
            <w:tcW w:type="dxa" w:w="604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Film schools, shorts, animation, gaming, XR, AI &amp; cinema, Talent Campus</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Ziua 12</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GLOBAL BUSINESS DAY</w:t>
            </w:r>
          </w:p>
        </w:tc>
        <w:tc>
          <w:tcPr>
            <w:tcW w:type="dxa" w:w="604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Investiții, comerț, turism, tech, infrastructură, creative industries; CEO Dinner</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Ziua 13</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CO-PRODUCTION DAY</w:t>
            </w:r>
          </w:p>
        </w:tc>
        <w:tc>
          <w:tcPr>
            <w:tcW w:type="dxa" w:w="604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Pitching, one-to-one meetings, film funds, sales agents, distribuitori, Sighișoara Co-production Award</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Ziua 14</w:t>
            </w:r>
          </w:p>
        </w:tc>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GHFF GALA</w:t>
            </w:r>
          </w:p>
        </w:tc>
        <w:tc>
          <w:tcPr>
            <w:tcW w:type="dxa" w:w="604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Premii, moment artistic, winning film, Romanian Closing Film, closing reception</w:t>
            </w:r>
          </w:p>
        </w:tc>
      </w:tr>
    </w:tbl>
    <w:p>
      <w:pPr>
        <w:spacing w:after="0"/>
      </w:pPr>
    </w:p>
    <w:p>
      <w:pPr>
        <w:pStyle w:val="Heading2"/>
        <w:keepNext/>
      </w:pPr>
      <w:r>
        <w:rPr>
          <w:color w:val="000000"/>
        </w:rPr>
        <w:t>Premii principale</w:t>
      </w:r>
    </w:p>
    <w:p>
      <w:pPr>
        <w:pStyle w:val="ListBullet"/>
        <w:spacing w:after="36"/>
      </w:pPr>
      <w:r>
        <w:rPr>
          <w:color w:val="000000"/>
          <w:sz w:val="18"/>
        </w:rPr>
        <w:t>GHFF Grand Prix</w:t>
      </w:r>
    </w:p>
    <w:p>
      <w:pPr>
        <w:pStyle w:val="ListBullet"/>
        <w:spacing w:after="36"/>
      </w:pPr>
      <w:r>
        <w:rPr>
          <w:color w:val="000000"/>
          <w:sz w:val="18"/>
        </w:rPr>
        <w:t>Sighișoara Award</w:t>
      </w:r>
    </w:p>
    <w:p>
      <w:pPr>
        <w:pStyle w:val="ListBullet"/>
        <w:spacing w:after="36"/>
      </w:pPr>
      <w:r>
        <w:rPr>
          <w:color w:val="000000"/>
          <w:sz w:val="18"/>
        </w:rPr>
        <w:t>Silk Road Award</w:t>
      </w:r>
    </w:p>
    <w:p>
      <w:pPr>
        <w:pStyle w:val="ListBullet"/>
        <w:spacing w:after="36"/>
      </w:pPr>
      <w:r>
        <w:rPr>
          <w:color w:val="000000"/>
          <w:sz w:val="18"/>
        </w:rPr>
        <w:t>Best Director / Actor / Actress</w:t>
      </w:r>
    </w:p>
    <w:p>
      <w:pPr>
        <w:pStyle w:val="ListBullet"/>
        <w:spacing w:after="36"/>
      </w:pPr>
      <w:r>
        <w:rPr>
          <w:color w:val="000000"/>
          <w:sz w:val="18"/>
        </w:rPr>
        <w:t>Best Documentary / Debut / Short / Animation</w:t>
      </w:r>
    </w:p>
    <w:p>
      <w:pPr>
        <w:pStyle w:val="ListBullet"/>
        <w:spacing w:after="36"/>
      </w:pPr>
      <w:r>
        <w:rPr>
          <w:color w:val="000000"/>
          <w:sz w:val="18"/>
        </w:rPr>
        <w:t>Best Co-production Project</w:t>
      </w:r>
    </w:p>
    <w:p>
      <w:pPr>
        <w:pStyle w:val="ListBullet"/>
        <w:spacing w:after="36"/>
      </w:pPr>
      <w:r>
        <w:rPr>
          <w:color w:val="000000"/>
          <w:sz w:val="18"/>
        </w:rPr>
        <w:t>GHFF Cultural Bridge Award</w:t>
      </w:r>
    </w:p>
    <w:p>
      <w:r>
        <w:rPr>
          <w:color w:val="000000"/>
        </w:rPr>
      </w:r>
    </w:p>
    <w:p>
      <w:pPr>
        <w:pStyle w:val="Kicker"/>
      </w:pPr>
      <w:r>
        <w:rPr>
          <w:color w:val="000000"/>
        </w:rPr>
        <w:t>CALITATE CURATORIALĂ + ACCES PUBLIC</w:t>
      </w:r>
    </w:p>
    <w:p>
      <w:pPr>
        <w:pStyle w:val="Heading1"/>
        <w:keepNext/>
      </w:pPr>
      <w:r>
        <w:rPr>
          <w:color w:val="000000"/>
        </w:rPr>
        <w:t>11. Program cinematografic și selecție</w:t>
      </w:r>
    </w:p>
    <w:p>
      <w:pPr>
        <w:pStyle w:val="Argumentare"/>
        <w:keepNext/>
      </w:pPr>
      <w:r>
        <w:t>ARGUMENTARE STRATEGICĂ</w:t>
      </w:r>
    </w:p>
    <w:p>
      <w:pPr>
        <w:pStyle w:val="ArgumentBody"/>
      </w:pPr>
      <w:r>
        <w:t>Selecția cinematografică este principalul mecanism de reputație. Un program cu multe filme, dar fără criterii curatoriale clare, nu poate concura pentru atenția criticilor, profesioniștilor și publicului. Festivalul trebuie să combine titluri de acces, descoperiri, premiere și retrospective, menținând o voce editorială recognoscibilă.</w:t>
      </w:r>
    </w:p>
    <w:p>
      <w:pPr>
        <w:pStyle w:val="Argumentare"/>
        <w:keepNext/>
      </w:pPr>
      <w:r>
        <w:t>STANDARDUL TEHNIC CA PARTE DIN EXPERIENȚĂ</w:t>
      </w:r>
    </w:p>
    <w:p>
      <w:pPr>
        <w:pStyle w:val="ArgumentBody"/>
      </w:pPr>
      <w:r>
        <w:t>Calitatea proiecției influențează direct percepția asupra întregului festival. DCP, subtitrările, verificarea sunetului și testarea materialelor trebuie tratate ca procese de producție, nu ca sarcini de ultim moment. Un film bun proiectat cu subtitrări defecte sau niveluri audio greșite poate compromite relația cu cineastul și cu publicul.</w:t>
      </w:r>
    </w:p>
    <w:p>
      <w:pPr>
        <w:pStyle w:val="Argumentare"/>
        <w:keepNext/>
      </w:pPr>
      <w:r>
        <w:t>ACCES ȘI DIVERSITATE</w:t>
      </w:r>
    </w:p>
    <w:p>
      <w:pPr>
        <w:pStyle w:val="ArgumentBody"/>
      </w:pPr>
      <w:r>
        <w:t>Programarea trebuie să echilibreze valoarea artistică cu accesibilitatea: animație, familie, documentar, debut, cinema de autor și titluri cu potențial de public. Nu toate sloturile trebuie să urmărească aceeași audiență. Diversitatea de formate permite utilizarea diferitelor săli și construiește un festival care poate fi adoptat și de comunitatea locală, nu doar de profesioniști.</w:t>
      </w:r>
    </w:p>
    <w:tbl>
      <w:tblPr>
        <w:tblStyle w:val="TableGrid"/>
        <w:tblW w:type="auto" w:w="0"/>
        <w:jc w:val="center"/>
        <w:tblLayout w:type="autofit"/>
        <w:tblLook w:firstColumn="1" w:firstRow="1" w:lastColumn="0" w:lastRow="0" w:noHBand="0" w:noVBand="1" w:val="04A0"/>
      </w:tblPr>
      <w:tblGrid>
        <w:gridCol w:w="3456"/>
        <w:gridCol w:w="3456"/>
        <w:gridCol w:w="3456"/>
      </w:tblGrid>
      <w:tr>
        <w:trPr>
          <w:cantSplit/>
          <w:tblHeader w:val="true"/>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Secțiune</w:t>
            </w:r>
          </w:p>
        </w:tc>
        <w:tc>
          <w:tcPr>
            <w:tcW w:type="dxa" w:w="21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Țintă anuală</w:t>
            </w:r>
          </w:p>
        </w:tc>
        <w:tc>
          <w:tcPr>
            <w:tcW w:type="dxa" w:w="50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Rol</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Official Competition</w:t>
            </w:r>
          </w:p>
        </w:tc>
        <w:tc>
          <w:tcPr>
            <w:tcW w:type="dxa" w:w="21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10–12 filme</w:t>
            </w:r>
          </w:p>
        </w:tc>
        <w:tc>
          <w:tcPr>
            <w:tcW w:type="dxa" w:w="50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Reputație și presă internațională</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Country Focus</w:t>
            </w:r>
          </w:p>
        </w:tc>
        <w:tc>
          <w:tcPr>
            <w:tcW w:type="dxa" w:w="21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20–30 filme</w:t>
            </w:r>
          </w:p>
        </w:tc>
        <w:tc>
          <w:tcPr>
            <w:tcW w:type="dxa" w:w="50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Identitatea GHFF</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Romania Every Night</w:t>
            </w:r>
          </w:p>
        </w:tc>
        <w:tc>
          <w:tcPr>
            <w:tcW w:type="dxa" w:w="21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14 filme</w:t>
            </w:r>
          </w:p>
        </w:tc>
        <w:tc>
          <w:tcPr>
            <w:tcW w:type="dxa" w:w="50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Export cultural românesc</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Documentary</w:t>
            </w:r>
          </w:p>
        </w:tc>
        <w:tc>
          <w:tcPr>
            <w:tcW w:type="dxa" w:w="21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8–12 filme</w:t>
            </w:r>
          </w:p>
        </w:tc>
        <w:tc>
          <w:tcPr>
            <w:tcW w:type="dxa" w:w="50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Context social, istorie, geografie</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Debut / New Voices</w:t>
            </w:r>
          </w:p>
        </w:tc>
        <w:tc>
          <w:tcPr>
            <w:tcW w:type="dxa" w:w="21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6–8 filme</w:t>
            </w:r>
          </w:p>
        </w:tc>
        <w:tc>
          <w:tcPr>
            <w:tcW w:type="dxa" w:w="50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Descoperire de talent</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Shorts</w:t>
            </w:r>
          </w:p>
        </w:tc>
        <w:tc>
          <w:tcPr>
            <w:tcW w:type="dxa" w:w="21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12–20 programe / titluri</w:t>
            </w:r>
          </w:p>
        </w:tc>
        <w:tc>
          <w:tcPr>
            <w:tcW w:type="dxa" w:w="50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Tineri și formate flexibile</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Animation / Family</w:t>
            </w:r>
          </w:p>
        </w:tc>
        <w:tc>
          <w:tcPr>
            <w:tcW w:type="dxa" w:w="21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6–10 filme</w:t>
            </w:r>
          </w:p>
        </w:tc>
        <w:tc>
          <w:tcPr>
            <w:tcW w:type="dxa" w:w="50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Public local și familie</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Classics / Restored</w:t>
            </w:r>
          </w:p>
        </w:tc>
        <w:tc>
          <w:tcPr>
            <w:tcW w:type="dxa" w:w="21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4–8 filme</w:t>
            </w:r>
          </w:p>
        </w:tc>
        <w:tc>
          <w:tcPr>
            <w:tcW w:type="dxa" w:w="50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Patrimoniu cinematografic</w:t>
            </w:r>
          </w:p>
        </w:tc>
      </w:tr>
    </w:tbl>
    <w:p>
      <w:pPr>
        <w:spacing w:after="0"/>
      </w:pPr>
    </w:p>
    <w:p>
      <w:pPr>
        <w:pStyle w:val="Heading2"/>
        <w:keepNext/>
      </w:pPr>
      <w:r>
        <w:rPr>
          <w:color w:val="000000"/>
        </w:rPr>
        <w:t>Standard tehnic</w:t>
      </w:r>
    </w:p>
    <w:p>
      <w:pPr>
        <w:pStyle w:val="ListBullet"/>
        <w:spacing w:after="36"/>
      </w:pPr>
      <w:r>
        <w:rPr>
          <w:color w:val="000000"/>
          <w:sz w:val="18"/>
        </w:rPr>
        <w:t>DCP ca standard principal; fallback profesional doar pentru excepții aprobate.</w:t>
      </w:r>
    </w:p>
    <w:p>
      <w:pPr>
        <w:pStyle w:val="ListBullet"/>
        <w:spacing w:after="36"/>
      </w:pPr>
      <w:r>
        <w:rPr>
          <w:color w:val="000000"/>
          <w:sz w:val="18"/>
        </w:rPr>
        <w:t>Subtitrare în engleză obligatorie pentru program internațional; subtitrare în română unde este necesar publicului.</w:t>
      </w:r>
    </w:p>
    <w:p>
      <w:pPr>
        <w:pStyle w:val="ListBullet"/>
        <w:spacing w:after="36"/>
      </w:pPr>
      <w:r>
        <w:rPr>
          <w:color w:val="000000"/>
          <w:sz w:val="18"/>
        </w:rPr>
        <w:t>QC tehnic înainte de festival; ingest și verificare cu minimum 7 zile înainte.</w:t>
      </w:r>
    </w:p>
    <w:p>
      <w:pPr>
        <w:pStyle w:val="ListBullet"/>
        <w:spacing w:after="36"/>
      </w:pPr>
      <w:r>
        <w:rPr>
          <w:color w:val="000000"/>
          <w:sz w:val="18"/>
        </w:rPr>
        <w:t>Drepturile de proiecție, materialele promoționale și autorizațiile se contractează individual.</w:t>
      </w:r>
    </w:p>
    <w:tbl>
      <w:tblPr>
        <w:tblW w:type="auto" w:w="0"/>
        <w:jc w:val="center"/>
        <w:tblLayout w:type="autofit"/>
        <w:tblLook w:firstColumn="1" w:firstRow="1" w:lastColumn="0" w:lastRow="0" w:noHBand="0" w:noVBand="1" w:val="04A0"/>
      </w:tblPr>
      <w:tblGrid>
        <w:gridCol w:w="10368"/>
      </w:tblGrid>
      <w:tr>
        <w:trPr>
          <w:cantSplit/>
        </w:trPr>
        <w:tc>
          <w:tcPr>
            <w:tcW w:type="dxa" w:w="10368"/>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vAlign w:val="center"/>
          </w:tcPr>
          <w:p>
            <w:pPr>
              <w:spacing w:after="40" w:before="20"/>
            </w:pPr>
            <w:r>
              <w:rPr>
                <w:rFonts w:ascii="Aptos" w:hAnsi="Aptos"/>
                <w:color w:val="000000"/>
                <w:sz w:val="16"/>
              </w:rPr>
            </w:r>
            <w:r>
              <w:rPr>
                <w:rFonts w:ascii="Aptos" w:hAnsi="Aptos"/>
                <w:b/>
                <w:color w:val="000000"/>
                <w:sz w:val="16"/>
              </w:rPr>
              <w:t>ROMANIA EVERY NIGHT</w:t>
              <w:br/>
            </w:r>
            <w:r>
              <w:rPr>
                <w:rFonts w:ascii="Aptos" w:hAnsi="Aptos"/>
                <w:color w:val="000000"/>
                <w:sz w:val="16"/>
              </w:rPr>
              <w:t>Ultimul slot major al fiecărei seri devine o vitrină coerentă a cinematografiei românești pentru invitați și delegații. Selecția trebuie să combine clasici, cinema contemporan, documentar și producții filmate în Transilvania.</w:t>
            </w:r>
          </w:p>
        </w:tc>
      </w:tr>
    </w:tbl>
    <w:p>
      <w:pPr>
        <w:spacing w:after="0"/>
      </w:pPr>
    </w:p>
    <w:p>
      <w:r>
        <w:rPr>
          <w:color w:val="000000"/>
        </w:rPr>
      </w:r>
    </w:p>
    <w:p>
      <w:pPr>
        <w:pStyle w:val="Kicker"/>
      </w:pPr>
      <w:r>
        <w:rPr>
          <w:color w:val="000000"/>
        </w:rPr>
        <w:t>MOTORUL DE INDUSTRIE</w:t>
      </w:r>
    </w:p>
    <w:p>
      <w:pPr>
        <w:pStyle w:val="Heading1"/>
        <w:keepNext/>
      </w:pPr>
      <w:r>
        <w:rPr>
          <w:color w:val="000000"/>
        </w:rPr>
        <w:t>12. GHFF Film Market &amp; Co-production Lab</w:t>
      </w:r>
    </w:p>
    <w:p>
      <w:pPr>
        <w:pStyle w:val="Argumentare"/>
        <w:keepNext/>
      </w:pPr>
      <w:r>
        <w:t>ARGUMENTARE STRATEGICĂ</w:t>
      </w:r>
    </w:p>
    <w:p>
      <w:pPr>
        <w:pStyle w:val="ArgumentBody"/>
      </w:pPr>
      <w:r>
        <w:t>Film Market-ul este componenta care poate transforma reputația culturală în utilitate industrială. Pentru ediția 1, obiectivul nu este dimensiunea, ci densitatea întâlnirilor relevante. Un market cu 150 de persoane atent selectate poate produce mai mult decât un târg cu sute de participanți fără agendă sau criterii de acces.</w:t>
      </w:r>
    </w:p>
    <w:p>
      <w:pPr>
        <w:pStyle w:val="Argumentare"/>
        <w:keepNext/>
      </w:pPr>
      <w:r>
        <w:t>COPRODUCȚIA CA PUNTE CONCRETĂ</w:t>
      </w:r>
    </w:p>
    <w:p>
      <w:pPr>
        <w:pStyle w:val="ArgumentBody"/>
      </w:pPr>
      <w:r>
        <w:t>Relația Europa–Asia Centrală devine credibilă atunci când există proiecte realizate împreună. Co-production Lab-ul trebuie să pregătească proiectele înainte de pitching, să le conecteze cu parteneri potriviți și să urmărească progresul ulterior. Premiile în servicii pot fi la fel de valoroase ca numerarul dacă sunt furnizate de parteneri de post-producție, echipamente sau locații și au termeni clari.</w:t>
      </w:r>
    </w:p>
    <w:p>
      <w:pPr>
        <w:pStyle w:val="Argumentare"/>
        <w:keepNext/>
      </w:pPr>
      <w:r>
        <w:t>DISCIPLINĂ DE SELECȚIE</w:t>
      </w:r>
    </w:p>
    <w:p>
      <w:pPr>
        <w:pStyle w:val="ArgumentBody"/>
      </w:pPr>
      <w:r>
        <w:t>Proiectele trebuie evaluate după calitate artistică, fezabilitate, potențial internațional și relevanța colaborării. Participarea nu trebuie să devină un beneficiu protocolar pentru delegații. Independența selecției este esențială dacă market-ul trebuie să atragă ulterior producători și finanțatori cu reputație.</w:t>
      </w:r>
    </w:p>
    <w:p>
      <w:r>
        <w:rPr>
          <w:color w:val="000000"/>
        </w:rPr>
        <w:t>Film Market-ul propus funcționează 5 zile în interiorul festivalului, cu acces acreditat și întâlniri programate. Nu trebuie dimensionat ca un târg generic în ediția 1; prioritatea este densitatea relațiilor și calitatea participanților.</w:t>
      </w:r>
    </w:p>
    <w:tbl>
      <w:tblPr>
        <w:tblStyle w:val="TableGrid"/>
        <w:tblW w:type="auto" w:w="0"/>
        <w:jc w:val="center"/>
        <w:tblLayout w:type="autofit"/>
        <w:tblLook w:firstColumn="1" w:firstRow="1" w:lastColumn="0" w:lastRow="0" w:noHBand="0" w:noVBand="1" w:val="04A0"/>
      </w:tblPr>
      <w:tblGrid>
        <w:gridCol w:w="5184"/>
        <w:gridCol w:w="5184"/>
      </w:tblGrid>
      <w:tr>
        <w:trPr>
          <w:cantSplit/>
          <w:tblHeader w:val="true"/>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Componentă</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Funcție</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Sales &amp; Distribution</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Sales agents, distribuitori, televiziuni, streameri</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Co-production Area</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Producători, fonduri, pitching, consultanță</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Film Commission Area</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Locații, facilități, servicii de producție</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Technology Area</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Post, VFX, virtual production, AI, subtitrare</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Transylvania Location Market</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Promovarea locațiilor și serviciilor românești</w:t>
            </w:r>
          </w:p>
        </w:tc>
      </w:tr>
      <w:tr>
        <w:trPr>
          <w:cantSplit/>
        </w:trPr>
        <w:tc>
          <w:tcPr>
            <w:tcW w:type="dxa" w:w="345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Meeting Hub</w:t>
            </w:r>
          </w:p>
        </w:tc>
        <w:tc>
          <w:tcPr>
            <w:tcW w:type="dxa" w:w="633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Întâlniri 1:1 și matchmaking digital</w:t>
            </w:r>
          </w:p>
        </w:tc>
      </w:tr>
    </w:tbl>
    <w:p>
      <w:pPr>
        <w:spacing w:after="0"/>
      </w:pPr>
    </w:p>
    <w:p>
      <w:pPr>
        <w:pStyle w:val="Heading2"/>
        <w:keepNext/>
      </w:pPr>
      <w:r>
        <w:rPr>
          <w:color w:val="000000"/>
        </w:rPr>
        <w:t>GHFF Project Market – ținta ediției 1</w:t>
      </w:r>
    </w:p>
    <w:p>
      <w:pPr>
        <w:pStyle w:val="ListBullet"/>
        <w:spacing w:after="36"/>
      </w:pPr>
      <w:r>
        <w:rPr>
          <w:color w:val="000000"/>
          <w:sz w:val="18"/>
        </w:rPr>
        <w:t>12 proiecte de lungmetraj</w:t>
      </w:r>
    </w:p>
    <w:p>
      <w:pPr>
        <w:pStyle w:val="ListBullet"/>
        <w:spacing w:after="36"/>
      </w:pPr>
      <w:r>
        <w:rPr>
          <w:color w:val="000000"/>
          <w:sz w:val="18"/>
        </w:rPr>
        <w:t>6 documentare</w:t>
      </w:r>
    </w:p>
    <w:p>
      <w:pPr>
        <w:pStyle w:val="ListBullet"/>
        <w:spacing w:after="36"/>
      </w:pPr>
      <w:r>
        <w:rPr>
          <w:color w:val="000000"/>
          <w:sz w:val="18"/>
        </w:rPr>
        <w:t>6 proiecte debut / new voices</w:t>
      </w:r>
    </w:p>
    <w:p>
      <w:pPr>
        <w:pStyle w:val="ListBullet"/>
        <w:spacing w:after="36"/>
      </w:pPr>
      <w:r>
        <w:rPr>
          <w:color w:val="000000"/>
          <w:sz w:val="18"/>
        </w:rPr>
        <w:t>pitch training și mentoring</w:t>
      </w:r>
    </w:p>
    <w:p>
      <w:pPr>
        <w:pStyle w:val="ListBullet"/>
        <w:spacing w:after="36"/>
      </w:pPr>
      <w:r>
        <w:rPr>
          <w:color w:val="000000"/>
          <w:sz w:val="18"/>
        </w:rPr>
        <w:t>minimum 60 întâlniri one-to-one</w:t>
      </w:r>
    </w:p>
    <w:p>
      <w:pPr>
        <w:pStyle w:val="ListBullet"/>
        <w:spacing w:after="36"/>
      </w:pPr>
      <w:r>
        <w:rPr>
          <w:color w:val="000000"/>
          <w:sz w:val="18"/>
        </w:rPr>
        <w:t>Sighișoara Co-production Award: 25.000–50.000 EUR cash și/sau servicii, doar dacă finanțarea este confirmată</w:t>
      </w:r>
    </w:p>
    <w:p>
      <w:r>
        <w:rPr>
          <w:color w:val="000000"/>
        </w:rPr>
        <w:t>Eurimages demonstrează existența unei infrastructuri europene mature pentru coproducții internaționale; în 2026 fondul a raportat peste 20 milioane EUR alocate proiectelor de coproducție până la actualizarea din 7 iulie. Festivalul nu poate promite acces sau eligibilitate, dar poate construi proiectele astfel încât producătorii să intre în ecosistemele de finanțare relevante.</w:t>
      </w:r>
    </w:p>
    <w:p>
      <w:r>
        <w:rPr>
          <w:color w:val="000000"/>
        </w:rPr>
      </w:r>
    </w:p>
    <w:p>
      <w:pPr>
        <w:pStyle w:val="Kicker"/>
      </w:pPr>
      <w:r>
        <w:rPr>
          <w:color w:val="000000"/>
        </w:rPr>
        <w:t>DE LA NETWORKING LA REZULTATE</w:t>
      </w:r>
    </w:p>
    <w:p>
      <w:pPr>
        <w:pStyle w:val="Heading1"/>
        <w:keepNext/>
      </w:pPr>
      <w:r>
        <w:rPr>
          <w:color w:val="000000"/>
        </w:rPr>
        <w:t>13. GHFF Business Forum</w:t>
      </w:r>
    </w:p>
    <w:p>
      <w:pPr>
        <w:pStyle w:val="Argumentare"/>
        <w:keepNext/>
      </w:pPr>
      <w:r>
        <w:t>ARGUMENTARE STRATEGICĂ</w:t>
      </w:r>
    </w:p>
    <w:p>
      <w:pPr>
        <w:pStyle w:val="ArgumentBody"/>
      </w:pPr>
      <w:r>
        <w:t>Business Forum-ul justifică termenul de hub numai dacă generează întâlniri cu obiective comerciale explicite. Conferințele generale pot crea vizibilitate, dar nu sunt suficiente pentru a produce rezultate. De aceea, designul pune accent pe profilarea participanților, matchmaking și follow-up, nu pe un număr mare de paneluri.</w:t>
      </w:r>
    </w:p>
    <w:p>
      <w:pPr>
        <w:pStyle w:val="Argumentare"/>
        <w:keepNext/>
      </w:pPr>
      <w:r>
        <w:t>LEGĂTURA CU FESTIVALUL</w:t>
      </w:r>
    </w:p>
    <w:p>
      <w:pPr>
        <w:pStyle w:val="ArgumentBody"/>
      </w:pPr>
      <w:r>
        <w:t>Avantajul față de un forum economic separat este contextul cultural. Filmul și experiența orașului reduc formalitatea, cresc timpul petrecut împreună și pot crea încredere între participanți care altfel s-ar întâlni doar într-o sală de conferințe. Acest capital relațional este greu de cuantificat imediat, dar poate fi susținut prin indicatori de follow-up și prin raportarea acordurilor sau proiectelor apărute ulterior.</w:t>
      </w:r>
    </w:p>
    <w:p>
      <w:pPr>
        <w:pStyle w:val="Argumentare"/>
        <w:keepNext/>
      </w:pPr>
      <w:r>
        <w:t>FOCUS SECTORIAL</w:t>
      </w:r>
    </w:p>
    <w:p>
      <w:pPr>
        <w:pStyle w:val="ArgumentBody"/>
      </w:pPr>
      <w:r>
        <w:t>Ediția 1 trebuie să limiteze verticalele la domenii unde există interes bilateral și parteneri reali. Un forum care încearcă să acopere toate industriile devine superficial. Se recomandă selectarea anuală a 3–5 teme prioritare în funcție de delegațiile confirmate și de ecosistemul economic regional.</w:t>
      </w:r>
    </w:p>
    <w:p>
      <w:r>
        <w:rPr>
          <w:color w:val="000000"/>
        </w:rPr>
        <w:t>Business Forum-ul este al doilea motor economic al proiectului. Se desfășoară în principal în zilele 11–13, cu sesiuni country-focused în restul festivalului.</w:t>
      </w:r>
    </w:p>
    <w:tbl>
      <w:tblPr>
        <w:tblStyle w:val="TableGrid"/>
        <w:tblW w:type="auto" w:w="0"/>
        <w:jc w:val="center"/>
        <w:tblLayout w:type="autofit"/>
        <w:tblLook w:firstColumn="1" w:firstRow="1" w:lastColumn="0" w:lastRow="0" w:noHBand="0" w:noVBand="1" w:val="04A0"/>
      </w:tblPr>
      <w:tblGrid>
        <w:gridCol w:w="5184"/>
        <w:gridCol w:w="5184"/>
      </w:tblGrid>
      <w:tr>
        <w:trPr>
          <w:cantSplit/>
          <w:tblHeader w:val="true"/>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Verticală</w:t>
            </w:r>
          </w:p>
        </w:tc>
        <w:tc>
          <w:tcPr>
            <w:tcW w:type="dxa" w:w="66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Tip de participant / rezultat</w:t>
            </w:r>
          </w:p>
        </w:tc>
      </w:tr>
      <w:tr>
        <w:trPr>
          <w:cantSplit/>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Creative Industries</w:t>
            </w:r>
          </w:p>
        </w:tc>
        <w:tc>
          <w:tcPr>
            <w:tcW w:type="dxa" w:w="66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Film, media, gaming, design, music, production services</w:t>
            </w:r>
          </w:p>
        </w:tc>
      </w:tr>
      <w:tr>
        <w:trPr>
          <w:cantSplit/>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Tourism &amp; Hospitality</w:t>
            </w:r>
          </w:p>
        </w:tc>
        <w:tc>
          <w:tcPr>
            <w:tcW w:type="dxa" w:w="66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Destinații, hoteluri, tour operators, airlines</w:t>
            </w:r>
          </w:p>
        </w:tc>
      </w:tr>
      <w:tr>
        <w:trPr>
          <w:cantSplit/>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Technology &amp; IT</w:t>
            </w:r>
          </w:p>
        </w:tc>
        <w:tc>
          <w:tcPr>
            <w:tcW w:type="dxa" w:w="66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Software, AI, telecom, cybersecurity, digital services</w:t>
            </w:r>
          </w:p>
        </w:tc>
      </w:tr>
      <w:tr>
        <w:trPr>
          <w:cantSplit/>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Trade &amp; Logistics</w:t>
            </w:r>
          </w:p>
        </w:tc>
        <w:tc>
          <w:tcPr>
            <w:tcW w:type="dxa" w:w="66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Import-export, transport, supply chain</w:t>
            </w:r>
          </w:p>
        </w:tc>
      </w:tr>
      <w:tr>
        <w:trPr>
          <w:cantSplit/>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Energy &amp; Infrastructure</w:t>
            </w:r>
          </w:p>
        </w:tc>
        <w:tc>
          <w:tcPr>
            <w:tcW w:type="dxa" w:w="66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Companii și investiții, cu agendă neutră și comercială</w:t>
            </w:r>
          </w:p>
        </w:tc>
      </w:tr>
      <w:tr>
        <w:trPr>
          <w:cantSplit/>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Agrifood</w:t>
            </w:r>
          </w:p>
        </w:tc>
        <w:tc>
          <w:tcPr>
            <w:tcW w:type="dxa" w:w="66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Producători, distribuție, gastronomie, export</w:t>
            </w:r>
          </w:p>
        </w:tc>
      </w:tr>
      <w:tr>
        <w:trPr>
          <w:cantSplit/>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Education</w:t>
            </w:r>
          </w:p>
        </w:tc>
        <w:tc>
          <w:tcPr>
            <w:tcW w:type="dxa" w:w="66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Universități, mobilități, programe comune</w:t>
            </w:r>
          </w:p>
        </w:tc>
      </w:tr>
    </w:tbl>
    <w:p>
      <w:pPr>
        <w:spacing w:after="0"/>
      </w:pPr>
    </w:p>
    <w:p>
      <w:pPr>
        <w:pStyle w:val="Heading2"/>
        <w:keepNext/>
      </w:pPr>
      <w:r>
        <w:rPr>
          <w:color w:val="000000"/>
        </w:rPr>
        <w:t>Matchmaking</w:t>
      </w:r>
    </w:p>
    <w:p>
      <w:pPr>
        <w:pStyle w:val="ListBullet"/>
        <w:spacing w:after="36"/>
      </w:pPr>
      <w:r>
        <w:rPr>
          <w:color w:val="000000"/>
          <w:sz w:val="18"/>
        </w:rPr>
        <w:t>Profil profesional completat înainte de festival.</w:t>
      </w:r>
    </w:p>
    <w:p>
      <w:pPr>
        <w:pStyle w:val="ListBullet"/>
        <w:spacing w:after="36"/>
      </w:pPr>
      <w:r>
        <w:rPr>
          <w:color w:val="000000"/>
          <w:sz w:val="18"/>
        </w:rPr>
        <w:t>Interese selectate: investiție, export, distribuție, coproducție, tehnologie, turism etc.</w:t>
      </w:r>
    </w:p>
    <w:p>
      <w:pPr>
        <w:pStyle w:val="ListBullet"/>
        <w:spacing w:after="36"/>
      </w:pPr>
      <w:r>
        <w:rPr>
          <w:color w:val="000000"/>
          <w:sz w:val="18"/>
        </w:rPr>
        <w:t>Întâlniri de 20 minute; calendar individual în aplicație.</w:t>
      </w:r>
    </w:p>
    <w:p>
      <w:pPr>
        <w:pStyle w:val="ListBullet"/>
        <w:spacing w:after="36"/>
      </w:pPr>
      <w:r>
        <w:rPr>
          <w:color w:val="000000"/>
          <w:sz w:val="18"/>
        </w:rPr>
        <w:t>Follow-up la 30 / 90 / 180 zile pentru a măsura rezultate, nu doar contacte.</w:t>
      </w:r>
    </w:p>
    <w:tbl>
      <w:tblPr>
        <w:tblW w:type="auto" w:w="0"/>
        <w:jc w:val="center"/>
        <w:tblLayout w:type="autofit"/>
        <w:tblLook w:firstColumn="1" w:firstRow="1" w:lastColumn="0" w:lastRow="0" w:noHBand="0" w:noVBand="1" w:val="04A0"/>
      </w:tblPr>
      <w:tblGrid>
        <w:gridCol w:w="10368"/>
      </w:tblGrid>
      <w:tr>
        <w:trPr>
          <w:cantSplit/>
        </w:trPr>
        <w:tc>
          <w:tcPr>
            <w:tcW w:type="dxa" w:w="10368"/>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vAlign w:val="center"/>
          </w:tcPr>
          <w:p>
            <w:pPr>
              <w:spacing w:after="40" w:before="20"/>
            </w:pPr>
            <w:r>
              <w:rPr>
                <w:rFonts w:ascii="Aptos" w:hAnsi="Aptos"/>
                <w:color w:val="000000"/>
                <w:sz w:val="16"/>
              </w:rPr>
            </w:r>
            <w:r>
              <w:rPr>
                <w:rFonts w:ascii="Aptos" w:hAnsi="Aptos"/>
                <w:b/>
                <w:color w:val="000000"/>
                <w:sz w:val="16"/>
              </w:rPr>
              <w:t>KPI BUSINESS</w:t>
              <w:br/>
            </w:r>
            <w:r>
              <w:rPr>
                <w:rFonts w:ascii="Aptos" w:hAnsi="Aptos"/>
                <w:color w:val="000000"/>
                <w:sz w:val="16"/>
              </w:rPr>
              <w:t>100+ întâlniri B2B la ediția 1; minimum 25% să genereze follow-up formal; minimum 5 rezultate cuantificabile în 6 luni: contract, memorandum, proiect comun, investiție, distribuție sau misiune economică.</w:t>
            </w:r>
          </w:p>
        </w:tc>
      </w:tr>
    </w:tbl>
    <w:p>
      <w:pPr>
        <w:spacing w:after="0"/>
      </w:pPr>
    </w:p>
    <w:p>
      <w:r>
        <w:rPr>
          <w:color w:val="000000"/>
        </w:rPr>
      </w:r>
    </w:p>
    <w:p>
      <w:pPr>
        <w:pStyle w:val="Kicker"/>
      </w:pPr>
      <w:r>
        <w:rPr>
          <w:color w:val="000000"/>
        </w:rPr>
        <w:t>ȚĂRI INVITATE CA ECOSISTEME</w:t>
      </w:r>
    </w:p>
    <w:p>
      <w:pPr>
        <w:pStyle w:val="Heading1"/>
        <w:keepNext/>
      </w:pPr>
      <w:r>
        <w:rPr>
          <w:color w:val="000000"/>
        </w:rPr>
        <w:t>14. Diplomație culturală și Country Partner Model</w:t>
      </w:r>
    </w:p>
    <w:p>
      <w:pPr>
        <w:pStyle w:val="Argumentare"/>
        <w:keepNext/>
      </w:pPr>
      <w:r>
        <w:t>ARGUMENTARE STRATEGICĂ</w:t>
      </w:r>
    </w:p>
    <w:p>
      <w:pPr>
        <w:pStyle w:val="ArgumentBody"/>
      </w:pPr>
      <w:r>
        <w:t>Country Partner Model transformă participarea unei țări într-o relație instituțională structurată. În locul unui simplu program de filme, partenerul poate construi o prezență care include cinema, cultură, turism, educație și business. Această formulă deschide mai multe linii de buget și justifică delegații mixte.</w:t>
      </w:r>
    </w:p>
    <w:p>
      <w:pPr>
        <w:pStyle w:val="Argumentare"/>
        <w:keepNext/>
      </w:pPr>
      <w:r>
        <w:t>NEUTRALITATE ȘI RECIPROCITATE</w:t>
      </w:r>
    </w:p>
    <w:p>
      <w:pPr>
        <w:pStyle w:val="ArgumentBody"/>
      </w:pPr>
      <w:r>
        <w:t>Festivalul trebuie să stabilească de la început că vizibilitatea protocolară și sprijinul financiar nu conferă drept de veto asupra selecției artistice. În același timp, relația trebuie să fie reciprocă: România trebuie prezentată în fiecare Country Day, iar parteneriatele valoroase pot include ulterior săptămâni de film românesc în țările participante.</w:t>
      </w:r>
    </w:p>
    <w:p>
      <w:pPr>
        <w:pStyle w:val="Argumentare"/>
        <w:keepNext/>
      </w:pPr>
      <w:r>
        <w:t>COUNTRY OF HONOUR</w:t>
      </w:r>
    </w:p>
    <w:p>
      <w:pPr>
        <w:pStyle w:val="ArgumentBody"/>
      </w:pPr>
      <w:r>
        <w:t>Statutul de țară de onoare trebuie acordat pe baza unui program amplu și a unei cooperări reale, nu vândut ca pachet de sponsorizare. Negocierea poate include contribuții financiare sau logistice, însă criteriul public trebuie să rămână valoarea culturală și strategică a colaborării.</w:t>
      </w:r>
    </w:p>
    <w:p>
      <w:r>
        <w:rPr>
          <w:color w:val="000000"/>
        </w:rPr>
        <w:t>Fiecare țară este invitată să vină nu doar cu filme, ci cu o delegație mixtă: cultură + industrie + instituții + business + presă. Această formulă justifică participarea pe mai multe linii bugetare și produce relații care depășesc festivalul.</w:t>
      </w:r>
    </w:p>
    <w:tbl>
      <w:tblPr>
        <w:tblStyle w:val="TableGrid"/>
        <w:tblW w:type="auto" w:w="0"/>
        <w:jc w:val="center"/>
        <w:tblLayout w:type="autofit"/>
        <w:tblLook w:firstColumn="1" w:firstRow="1" w:lastColumn="0" w:lastRow="0" w:noHBand="0" w:noVBand="1" w:val="04A0"/>
      </w:tblPr>
      <w:tblGrid>
        <w:gridCol w:w="5184"/>
        <w:gridCol w:w="5184"/>
      </w:tblGrid>
      <w:tr>
        <w:trPr>
          <w:cantSplit/>
          <w:tblHeader w:val="true"/>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Pachet Country Day</w:t>
            </w:r>
          </w:p>
        </w:tc>
        <w:tc>
          <w:tcPr>
            <w:tcW w:type="dxa" w:w="66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Conținut</w:t>
            </w:r>
          </w:p>
        </w:tc>
      </w:tr>
      <w:tr>
        <w:trPr>
          <w:cantSplit/>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Film</w:t>
            </w:r>
          </w:p>
        </w:tc>
        <w:tc>
          <w:tcPr>
            <w:tcW w:type="dxa" w:w="66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4–8 titluri + gala film</w:t>
            </w:r>
          </w:p>
        </w:tc>
      </w:tr>
      <w:tr>
        <w:trPr>
          <w:cantSplit/>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Delegation</w:t>
            </w:r>
          </w:p>
        </w:tc>
        <w:tc>
          <w:tcPr>
            <w:tcW w:type="dxa" w:w="66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Cineaști, instituții, companii, presă</w:t>
            </w:r>
          </w:p>
        </w:tc>
      </w:tr>
      <w:tr>
        <w:trPr>
          <w:cantSplit/>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Culture</w:t>
            </w:r>
          </w:p>
        </w:tc>
        <w:tc>
          <w:tcPr>
            <w:tcW w:type="dxa" w:w="66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Muzică, fotografie, design, literatură</w:t>
            </w:r>
          </w:p>
        </w:tc>
      </w:tr>
      <w:tr>
        <w:trPr>
          <w:cantSplit/>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Tourism</w:t>
            </w:r>
          </w:p>
        </w:tc>
        <w:tc>
          <w:tcPr>
            <w:tcW w:type="dxa" w:w="66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Pavilion / prezentare destinație</w:t>
            </w:r>
          </w:p>
        </w:tc>
      </w:tr>
      <w:tr>
        <w:trPr>
          <w:cantSplit/>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Business</w:t>
            </w:r>
          </w:p>
        </w:tc>
        <w:tc>
          <w:tcPr>
            <w:tcW w:type="dxa" w:w="66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Roundtable bilateral + B2B</w:t>
            </w:r>
          </w:p>
        </w:tc>
      </w:tr>
      <w:tr>
        <w:trPr>
          <w:cantSplit/>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Hospitality</w:t>
            </w:r>
          </w:p>
        </w:tc>
        <w:tc>
          <w:tcPr>
            <w:tcW w:type="dxa" w:w="66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Recepție / dinner în format co-finanțat</w:t>
            </w:r>
          </w:p>
        </w:tc>
      </w:tr>
      <w:tr>
        <w:trPr>
          <w:cantSplit/>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Media</w:t>
            </w:r>
          </w:p>
        </w:tc>
        <w:tc>
          <w:tcPr>
            <w:tcW w:type="dxa" w:w="66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Interviuri, press call, GHFF Daily</w:t>
            </w:r>
          </w:p>
        </w:tc>
      </w:tr>
    </w:tbl>
    <w:p>
      <w:pPr>
        <w:spacing w:after="0"/>
      </w:pPr>
    </w:p>
    <w:p>
      <w:pPr>
        <w:pStyle w:val="Heading2"/>
        <w:keepNext/>
      </w:pPr>
      <w:r>
        <w:rPr>
          <w:color w:val="000000"/>
        </w:rPr>
        <w:t>Country of Honour</w:t>
      </w:r>
    </w:p>
    <w:p>
      <w:r>
        <w:rPr>
          <w:color w:val="000000"/>
        </w:rPr>
        <w:t>În fiecare ediție se recomandă 1–2 țări de onoare, cu vizibilitate mai mare și program extins. Beneficiile și contribuțiile se negociază prin memorandum separat; statutul nu se vinde ca simplă sponsorizare comercială.</w:t>
      </w:r>
    </w:p>
    <w:tbl>
      <w:tblPr>
        <w:tblW w:type="auto" w:w="0"/>
        <w:jc w:val="center"/>
        <w:tblLayout w:type="autofit"/>
        <w:tblLook w:firstColumn="1" w:firstRow="1" w:lastColumn="0" w:lastRow="0" w:noHBand="0" w:noVBand="1" w:val="04A0"/>
      </w:tblPr>
      <w:tblGrid>
        <w:gridCol w:w="10368"/>
      </w:tblGrid>
      <w:tr>
        <w:trPr>
          <w:cantSplit/>
        </w:trPr>
        <w:tc>
          <w:tcPr>
            <w:tcW w:type="dxa" w:w="10368"/>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vAlign w:val="center"/>
          </w:tcPr>
          <w:p>
            <w:pPr>
              <w:spacing w:after="40" w:before="20"/>
            </w:pPr>
            <w:r>
              <w:rPr>
                <w:rFonts w:ascii="Aptos" w:hAnsi="Aptos"/>
                <w:color w:val="000000"/>
                <w:sz w:val="16"/>
              </w:rPr>
            </w:r>
            <w:r>
              <w:rPr>
                <w:rFonts w:ascii="Aptos" w:hAnsi="Aptos"/>
                <w:b/>
                <w:color w:val="000000"/>
                <w:sz w:val="16"/>
              </w:rPr>
              <w:t>NEUTRALITATE</w:t>
              <w:br/>
            </w:r>
            <w:r>
              <w:rPr>
                <w:rFonts w:ascii="Aptos" w:hAnsi="Aptos"/>
                <w:color w:val="000000"/>
                <w:sz w:val="16"/>
              </w:rPr>
              <w:t>Festivalul trebuie să păstreze o poziție culturală și profesională, cu politici clare privind libertatea artistică, siguranța participanților, screening-ul partenerilor și evitarea instrumentalizării politice a programului.</w:t>
            </w:r>
          </w:p>
        </w:tc>
      </w:tr>
    </w:tbl>
    <w:p>
      <w:pPr>
        <w:spacing w:after="0"/>
      </w:pPr>
    </w:p>
    <w:p>
      <w:r>
        <w:rPr>
          <w:color w:val="000000"/>
        </w:rPr>
      </w:r>
    </w:p>
    <w:p>
      <w:pPr>
        <w:pStyle w:val="Kicker"/>
      </w:pPr>
      <w:r>
        <w:rPr>
          <w:color w:val="000000"/>
        </w:rPr>
        <w:t>ORAȘUL DEVINE FESTIVALUL</w:t>
      </w:r>
    </w:p>
    <w:p>
      <w:pPr>
        <w:pStyle w:val="Heading1"/>
        <w:keepNext/>
      </w:pPr>
      <w:r>
        <w:rPr>
          <w:color w:val="000000"/>
        </w:rPr>
        <w:t>15. Schema locațiilor – Festival Campus</w:t>
      </w:r>
    </w:p>
    <w:p>
      <w:pPr>
        <w:pStyle w:val="Argumentare"/>
        <w:keepNext/>
      </w:pPr>
      <w:r>
        <w:t>ARGUMENTARE STRATEGICĂ</w:t>
      </w:r>
    </w:p>
    <w:p>
      <w:pPr>
        <w:pStyle w:val="ArgumentBody"/>
      </w:pPr>
      <w:r>
        <w:t>Festival Campus-ul face din oraș un participant activ. În loc ca publicul să intre într-un singur complex și să plece, programul distribuie activitatea între Cetate și spațiile indoor. Această dispersie crește contactul cu economia locală și creează imagini diferite pentru fiecare tip de eveniment.</w:t>
      </w:r>
    </w:p>
    <w:p>
      <w:pPr>
        <w:pStyle w:val="Argumentare"/>
        <w:keepNext/>
      </w:pPr>
      <w:r>
        <w:t>PRINCIPIUL CAPACITĂȚII REALE</w:t>
      </w:r>
    </w:p>
    <w:p>
      <w:pPr>
        <w:pStyle w:val="ArgumentBody"/>
      </w:pPr>
      <w:r>
        <w:t>Nicio locație nu trebuie programată după reputație sau fotografie, ci după un audit care include capacitate legală, evacuare, acces, black-out, sunet, curent, internet, backstage, logistică și protecția patrimoniului. Unele spații excelente pentru recepții pot fi nepotrivite pentru cinema, iar unele săli pot necesita investiții temporare disproporționate. Master Project-ul tratează astfel locațiile ca noduri funcționale, nu ca decor.</w:t>
      </w:r>
    </w:p>
    <w:p>
      <w:pPr>
        <w:pStyle w:val="Argumentare"/>
        <w:keepNext/>
      </w:pPr>
      <w:r>
        <w:t>PLAN B</w:t>
      </w:r>
    </w:p>
    <w:p>
      <w:pPr>
        <w:pStyle w:val="ArgumentBody"/>
      </w:pPr>
      <w:r>
        <w:t>Fiecare nod critic trebuie să aibă o alternativă. Pentru outdoor, aceasta înseamnă fallback indoor sau capacitatea de a anula fără a rupe programul principal. Pentru gala venue, înseamnă redundanță tehnică. Pentru Global Village, înseamnă plan de ploaie, protecție a instalațiilor și reguli de încărcare/descărcare.</w:t>
      </w:r>
    </w:p>
    <w:tbl>
      <w:tblPr>
        <w:tblStyle w:val="TableGrid"/>
        <w:tblW w:type="auto" w:w="0"/>
        <w:jc w:val="center"/>
        <w:tblLayout w:type="autofit"/>
        <w:tblLook w:firstColumn="1" w:firstRow="1" w:lastColumn="0" w:lastRow="0" w:noHBand="0" w:noVBand="1" w:val="04A0"/>
      </w:tblPr>
      <w:tblGrid>
        <w:gridCol w:w="3456"/>
        <w:gridCol w:w="3456"/>
        <w:gridCol w:w="3456"/>
      </w:tblGrid>
      <w:tr>
        <w:trPr>
          <w:cantSplit/>
          <w:tblHeader w:val="true"/>
        </w:trPr>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Nod</w:t>
            </w:r>
          </w:p>
        </w:tc>
        <w:tc>
          <w:tcPr>
            <w:tcW w:type="dxa" w:w="388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Funcție</w:t>
            </w:r>
          </w:p>
        </w:tc>
        <w:tc>
          <w:tcPr>
            <w:tcW w:type="dxa" w:w="388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Condiții</w:t>
            </w:r>
          </w:p>
        </w:tc>
      </w:tr>
      <w:tr>
        <w:trPr>
          <w:cantSplit/>
        </w:trPr>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A. Piața Cetății</w:t>
            </w:r>
          </w:p>
        </w:tc>
        <w:tc>
          <w:tcPr>
            <w:tcW w:type="dxa" w:w="388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Opening / Closing, concerte, proiecții outdoor selectate, ceremonial</w:t>
            </w:r>
          </w:p>
        </w:tc>
        <w:tc>
          <w:tcPr>
            <w:tcW w:type="dxa" w:w="388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Confirmare municipală, protecție patrimoniu, weather plan</w:t>
            </w:r>
          </w:p>
        </w:tc>
      </w:tr>
      <w:tr>
        <w:trPr>
          <w:cantSplit/>
        </w:trPr>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B. Piața Muzeului</w:t>
            </w:r>
          </w:p>
        </w:tc>
        <w:tc>
          <w:tcPr>
            <w:tcW w:type="dxa" w:w="388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Global Village, activări culturale, micro-scene, public</w:t>
            </w:r>
          </w:p>
        </w:tc>
        <w:tc>
          <w:tcPr>
            <w:tcW w:type="dxa" w:w="388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Flux pietonal, zgomot, program și protecție patrimoniu</w:t>
            </w:r>
          </w:p>
        </w:tc>
      </w:tr>
      <w:tr>
        <w:trPr>
          <w:cantSplit/>
        </w:trPr>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 Sala „Mihai Eminescu”</w:t>
            </w:r>
          </w:p>
        </w:tc>
        <w:tc>
          <w:tcPr>
            <w:tcW w:type="dxa" w:w="388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Sala principală indoor: competiție, gale, premiere</w:t>
            </w:r>
          </w:p>
        </w:tc>
        <w:tc>
          <w:tcPr>
            <w:tcW w:type="dxa" w:w="388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Capacitate și echipare de reconfirmat; conversie cinema</w:t>
            </w:r>
          </w:p>
        </w:tc>
      </w:tr>
      <w:tr>
        <w:trPr>
          <w:cantSplit/>
        </w:trPr>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 Sala „Ciprian Porumbescu”</w:t>
            </w:r>
          </w:p>
        </w:tc>
        <w:tc>
          <w:tcPr>
            <w:tcW w:type="dxa" w:w="388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Talks, masterclass, industry screenings</w:t>
            </w:r>
          </w:p>
        </w:tc>
        <w:tc>
          <w:tcPr>
            <w:tcW w:type="dxa" w:w="388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Capacitate / dotări de reconfirmat</w:t>
            </w:r>
          </w:p>
        </w:tc>
      </w:tr>
      <w:tr>
        <w:trPr>
          <w:cantSplit/>
        </w:trPr>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E. Spații municipale / conferință</w:t>
            </w:r>
          </w:p>
        </w:tc>
        <w:tc>
          <w:tcPr>
            <w:tcW w:type="dxa" w:w="388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Industry, Business Forum, press, meeting rooms</w:t>
            </w:r>
          </w:p>
        </w:tc>
        <w:tc>
          <w:tcPr>
            <w:tcW w:type="dxa" w:w="388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Selectare după audit și disponibilitate</w:t>
            </w:r>
          </w:p>
        </w:tc>
      </w:tr>
      <w:tr>
        <w:trPr>
          <w:cantSplit/>
        </w:trPr>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 Hotel / Hub profesional</w:t>
            </w:r>
          </w:p>
        </w:tc>
        <w:tc>
          <w:tcPr>
            <w:tcW w:type="dxa" w:w="388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Film Market, B2B, hospitality, VIP desk</w:t>
            </w:r>
          </w:p>
        </w:tc>
        <w:tc>
          <w:tcPr>
            <w:tcW w:type="dxa" w:w="388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Contract comercial / buyout parțial</w:t>
            </w:r>
          </w:p>
        </w:tc>
      </w:tr>
      <w:tr>
        <w:trPr>
          <w:cantSplit/>
        </w:trPr>
        <w:tc>
          <w:tcPr>
            <w:tcW w:type="dxa" w:w="259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G. Transylvania Route</w:t>
            </w:r>
          </w:p>
        </w:tc>
        <w:tc>
          <w:tcPr>
            <w:tcW w:type="dxa" w:w="388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Location scouting și turism profesional</w:t>
            </w:r>
          </w:p>
        </w:tc>
        <w:tc>
          <w:tcPr>
            <w:tcW w:type="dxa" w:w="388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Program separat, transport dedicat</w:t>
            </w:r>
          </w:p>
        </w:tc>
      </w:tr>
    </w:tbl>
    <w:p>
      <w:pPr>
        <w:spacing w:after="0"/>
      </w:pPr>
    </w:p>
    <w:p>
      <w:r>
        <w:rPr>
          <w:color w:val="000000"/>
        </w:rPr>
        <w:t>Municipiul a utilizat în 2026 Piața Cetății, Piața Muzeului și alte zone din Cetate pentru evenimente mari, iar documente municipale privind ProEtnica indică și utilizarea unor săli / spații municipale. Master Project-ul tratează aceste locații ca opțiuni de lucru, nu ca rezervări.</w:t>
      </w:r>
    </w:p>
    <w:tbl>
      <w:tblPr>
        <w:tblW w:type="auto" w:w="0"/>
        <w:jc w:val="center"/>
        <w:tblLayout w:type="autofit"/>
        <w:tblLook w:firstColumn="1" w:firstRow="1" w:lastColumn="0" w:lastRow="0" w:noHBand="0" w:noVBand="1" w:val="04A0"/>
      </w:tblPr>
      <w:tblGrid>
        <w:gridCol w:w="10368"/>
      </w:tblGrid>
      <w:tr>
        <w:trPr>
          <w:cantSplit/>
        </w:trPr>
        <w:tc>
          <w:tcPr>
            <w:tcW w:type="dxa" w:w="10368"/>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vAlign w:val="center"/>
          </w:tcPr>
          <w:p>
            <w:pPr>
              <w:spacing w:after="40" w:before="20"/>
            </w:pPr>
            <w:r>
              <w:rPr>
                <w:rFonts w:ascii="Aptos" w:hAnsi="Aptos"/>
                <w:color w:val="000000"/>
                <w:sz w:val="16"/>
              </w:rPr>
            </w:r>
            <w:r>
              <w:rPr>
                <w:rFonts w:ascii="Aptos" w:hAnsi="Aptos"/>
                <w:b/>
                <w:color w:val="000000"/>
                <w:sz w:val="16"/>
              </w:rPr>
              <w:t>AUDIT T–10 LUNI</w:t>
              <w:br/>
            </w:r>
            <w:r>
              <w:rPr>
                <w:rFonts w:ascii="Aptos" w:hAnsi="Aptos"/>
                <w:color w:val="000000"/>
                <w:sz w:val="16"/>
              </w:rPr>
              <w:t>Pentru fiecare nod: capacitate legală, evacuare, curent, blackout, acustică, internet, încărcare, acces dizabilități, toalete, securitate, protecția patrimoniului, orar, vecinătăți, vreme și cost total de operare.</w:t>
            </w:r>
          </w:p>
        </w:tc>
      </w:tr>
    </w:tbl>
    <w:p>
      <w:pPr>
        <w:spacing w:after="0"/>
      </w:pPr>
    </w:p>
    <w:p>
      <w:r>
        <w:rPr>
          <w:color w:val="000000"/>
        </w:rPr>
      </w:r>
    </w:p>
    <w:p>
      <w:pPr>
        <w:pStyle w:val="Kicker"/>
      </w:pPr>
      <w:r>
        <w:rPr>
          <w:color w:val="000000"/>
        </w:rPr>
        <w:t>LIVRARE FĂRĂ FRICȚIUNE</w:t>
      </w:r>
    </w:p>
    <w:p>
      <w:pPr>
        <w:pStyle w:val="Heading1"/>
        <w:keepNext/>
      </w:pPr>
      <w:r>
        <w:rPr>
          <w:color w:val="000000"/>
        </w:rPr>
        <w:t>16. Operațiuni, tehnic și fluxuri</w:t>
      </w:r>
    </w:p>
    <w:p>
      <w:pPr>
        <w:pStyle w:val="Argumentare"/>
        <w:keepNext/>
      </w:pPr>
      <w:r>
        <w:t>ARGUMENTARE STRATEGICĂ</w:t>
      </w:r>
    </w:p>
    <w:p>
      <w:pPr>
        <w:pStyle w:val="ArgumentBody"/>
      </w:pPr>
      <w:r>
        <w:t>Experiența publicului este rezultatul a sute de operațiuni invizibile: ingestul filmelor, transferurile, acreditarea, curățenia, securitatea, comunicarea cu invitații și schimbările de program. O singură defecțiune majoră într-o seară de gală poate domina percepția asupra întregului festival. De aceea, operațiunile trebuie proiectate prin proceduri și command center, nu prin rezolvări ad-hoc.</w:t>
      </w:r>
    </w:p>
    <w:p>
      <w:pPr>
        <w:pStyle w:val="Argumentare"/>
        <w:keepNext/>
      </w:pPr>
      <w:r>
        <w:t>STANDARDIZARE</w:t>
      </w:r>
    </w:p>
    <w:p>
      <w:pPr>
        <w:pStyle w:val="ArgumentBody"/>
      </w:pPr>
      <w:r>
        <w:t>Venue-urile trebuie să lucreze după aceleași protocoale: checklist de deschidere, test de proiecție, raport de incident, handover de tură, capacity count și procedură de evacuare. Guest Office-ul trebuie să aibă o singură sursă de adevăr pentru itinerarii și modificări. Standardizarea reduce dependența de memoria individuală și permite integrarea rapidă a voluntarilor.</w:t>
      </w:r>
    </w:p>
    <w:p>
      <w:pPr>
        <w:pStyle w:val="Argumentare"/>
        <w:keepNext/>
      </w:pPr>
      <w:r>
        <w:t>DATE ÎN TIMP REAL</w:t>
      </w:r>
    </w:p>
    <w:p>
      <w:pPr>
        <w:pStyle w:val="ArgumentBody"/>
      </w:pPr>
      <w:r>
        <w:t>Command center-ul trebuie să primească informații despre statusul sălilor, transport, acces și incidente. Nu este necesară o infrastructură tehnologică sofisticată; este necesar un proces clar, canale desemnate și responsabilitate. Deciziile rapide sunt posibile numai dacă datele de bază sunt consolidate.</w:t>
      </w:r>
    </w:p>
    <w:p>
      <w:pPr>
        <w:pStyle w:val="Heading2"/>
        <w:keepNext/>
      </w:pPr>
      <w:r>
        <w:rPr>
          <w:color w:val="000000"/>
        </w:rPr>
        <w:t>Cinema operations</w:t>
      </w:r>
    </w:p>
    <w:p>
      <w:pPr>
        <w:pStyle w:val="ListBullet"/>
        <w:spacing w:after="36"/>
      </w:pPr>
      <w:r>
        <w:rPr>
          <w:color w:val="000000"/>
          <w:sz w:val="18"/>
        </w:rPr>
        <w:t>Central ingest/QC pentru DCP și subtitrări.</w:t>
      </w:r>
    </w:p>
    <w:p>
      <w:pPr>
        <w:pStyle w:val="ListBullet"/>
        <w:spacing w:after="36"/>
      </w:pPr>
      <w:r>
        <w:rPr>
          <w:color w:val="000000"/>
          <w:sz w:val="18"/>
        </w:rPr>
        <w:t>Minimum un projection manager per venue și un technical runner shared.</w:t>
      </w:r>
    </w:p>
    <w:p>
      <w:pPr>
        <w:pStyle w:val="ListBullet"/>
        <w:spacing w:after="36"/>
      </w:pPr>
      <w:r>
        <w:rPr>
          <w:color w:val="000000"/>
          <w:sz w:val="18"/>
        </w:rPr>
        <w:t>Backup player / UPS / soluție de continuitate pentru gala venue.</w:t>
      </w:r>
    </w:p>
    <w:p>
      <w:pPr>
        <w:pStyle w:val="ListBullet"/>
        <w:spacing w:after="36"/>
      </w:pPr>
      <w:r>
        <w:rPr>
          <w:color w:val="000000"/>
          <w:sz w:val="18"/>
        </w:rPr>
        <w:t>Outdoor numai cu weather fallback și condiții de lumină / sunet testate.</w:t>
      </w:r>
    </w:p>
    <w:p>
      <w:pPr>
        <w:pStyle w:val="Heading2"/>
        <w:keepNext/>
      </w:pPr>
      <w:r>
        <w:rPr>
          <w:color w:val="000000"/>
        </w:rPr>
        <w:t>Guest operations</w:t>
      </w:r>
    </w:p>
    <w:p>
      <w:pPr>
        <w:pStyle w:val="ListBullet"/>
        <w:spacing w:after="36"/>
      </w:pPr>
      <w:r>
        <w:rPr>
          <w:color w:val="000000"/>
          <w:sz w:val="18"/>
        </w:rPr>
        <w:t>Central Guest Office; travel desk; airport/rail transfer plan.</w:t>
      </w:r>
    </w:p>
    <w:p>
      <w:pPr>
        <w:pStyle w:val="ListBullet"/>
        <w:spacing w:after="36"/>
      </w:pPr>
      <w:r>
        <w:rPr>
          <w:color w:val="000000"/>
          <w:sz w:val="18"/>
        </w:rPr>
        <w:t>Hotel allocation pe categorii: jury, talent, delegations, industry, staff.</w:t>
      </w:r>
    </w:p>
    <w:p>
      <w:pPr>
        <w:pStyle w:val="ListBullet"/>
        <w:spacing w:after="36"/>
      </w:pPr>
      <w:r>
        <w:rPr>
          <w:color w:val="000000"/>
          <w:sz w:val="18"/>
        </w:rPr>
        <w:t>Welcome desk cu acreditare QR și program personalizat.</w:t>
      </w:r>
    </w:p>
    <w:p>
      <w:pPr>
        <w:pStyle w:val="ListBullet"/>
        <w:spacing w:after="36"/>
      </w:pPr>
      <w:r>
        <w:rPr>
          <w:color w:val="000000"/>
          <w:sz w:val="18"/>
        </w:rPr>
        <w:t>Protocol separat pentru ambasadori, miniștri, oficiali și VIP.</w:t>
      </w:r>
    </w:p>
    <w:p>
      <w:pPr>
        <w:pStyle w:val="Heading2"/>
        <w:keepNext/>
      </w:pPr>
      <w:r>
        <w:rPr>
          <w:color w:val="000000"/>
        </w:rPr>
        <w:t>Security &amp; compliance</w:t>
      </w:r>
    </w:p>
    <w:p>
      <w:pPr>
        <w:pStyle w:val="ListBullet"/>
        <w:spacing w:after="36"/>
      </w:pPr>
      <w:r>
        <w:rPr>
          <w:color w:val="000000"/>
          <w:sz w:val="18"/>
        </w:rPr>
        <w:t>Plan integrat cu autoritățile competente și operatorii locațiilor.</w:t>
      </w:r>
    </w:p>
    <w:p>
      <w:pPr>
        <w:pStyle w:val="ListBullet"/>
        <w:spacing w:after="36"/>
      </w:pPr>
      <w:r>
        <w:rPr>
          <w:color w:val="000000"/>
          <w:sz w:val="18"/>
        </w:rPr>
        <w:t>Securitate, medical, crowd management, lost &amp; found, child safeguarding.</w:t>
      </w:r>
    </w:p>
    <w:p>
      <w:pPr>
        <w:pStyle w:val="ListBullet"/>
        <w:spacing w:after="36"/>
      </w:pPr>
      <w:r>
        <w:rPr>
          <w:color w:val="000000"/>
          <w:sz w:val="18"/>
        </w:rPr>
        <w:t>Asigurări: răspundere civilă, echipamente, anulare unde este fezabil.</w:t>
      </w:r>
    </w:p>
    <w:p>
      <w:pPr>
        <w:pStyle w:val="ListBullet"/>
        <w:spacing w:after="36"/>
      </w:pPr>
      <w:r>
        <w:rPr>
          <w:color w:val="000000"/>
          <w:sz w:val="18"/>
        </w:rPr>
        <w:t>GDPR pentru acreditări, matchmaking și acces; politici foto/video.</w:t>
      </w:r>
    </w:p>
    <w:tbl>
      <w:tblPr>
        <w:tblW w:type="auto" w:w="0"/>
        <w:jc w:val="center"/>
        <w:tblLayout w:type="autofit"/>
        <w:tblLook w:firstColumn="1" w:firstRow="1" w:lastColumn="0" w:lastRow="0" w:noHBand="0" w:noVBand="1" w:val="04A0"/>
      </w:tblPr>
      <w:tblGrid>
        <w:gridCol w:w="10368"/>
      </w:tblGrid>
      <w:tr>
        <w:trPr>
          <w:cantSplit/>
        </w:trPr>
        <w:tc>
          <w:tcPr>
            <w:tcW w:type="dxa" w:w="10368"/>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vAlign w:val="center"/>
          </w:tcPr>
          <w:p>
            <w:pPr>
              <w:spacing w:after="40" w:before="20"/>
            </w:pPr>
            <w:r>
              <w:rPr>
                <w:rFonts w:ascii="Aptos" w:hAnsi="Aptos"/>
                <w:color w:val="000000"/>
                <w:sz w:val="16"/>
              </w:rPr>
            </w:r>
            <w:r>
              <w:rPr>
                <w:rFonts w:ascii="Aptos" w:hAnsi="Aptos"/>
                <w:b/>
                <w:color w:val="000000"/>
                <w:sz w:val="16"/>
              </w:rPr>
              <w:t>CONTROL ROOM</w:t>
              <w:br/>
            </w:r>
            <w:r>
              <w:rPr>
                <w:rFonts w:ascii="Aptos" w:hAnsi="Aptos"/>
                <w:color w:val="000000"/>
                <w:sz w:val="16"/>
              </w:rPr>
              <w:t>În festival funcționează un command center unic: program, tehnic, transport, securitate, hospitality, presă și ticketing folosesc același incident log și aceeași linie de escaladare.</w:t>
            </w:r>
          </w:p>
        </w:tc>
      </w:tr>
    </w:tbl>
    <w:p>
      <w:pPr>
        <w:spacing w:after="0"/>
      </w:pPr>
    </w:p>
    <w:p>
      <w:r>
        <w:rPr>
          <w:color w:val="000000"/>
        </w:rPr>
      </w:r>
    </w:p>
    <w:p>
      <w:pPr>
        <w:pStyle w:val="Kicker"/>
      </w:pPr>
      <w:r>
        <w:rPr>
          <w:color w:val="000000"/>
        </w:rPr>
        <w:t>FESTIVAL PREMIUM, DAR DESCHIS ORAȘULUI</w:t>
      </w:r>
    </w:p>
    <w:p>
      <w:pPr>
        <w:pStyle w:val="Heading1"/>
        <w:keepNext/>
      </w:pPr>
      <w:r>
        <w:rPr>
          <w:color w:val="000000"/>
        </w:rPr>
        <w:t>17. Public, ticketing și acces</w:t>
      </w:r>
    </w:p>
    <w:p>
      <w:pPr>
        <w:pStyle w:val="Argumentare"/>
        <w:keepNext/>
      </w:pPr>
      <w:r>
        <w:t>ARGUMENTARE STRATEGICĂ</w:t>
      </w:r>
    </w:p>
    <w:p>
      <w:pPr>
        <w:pStyle w:val="ArgumentBody"/>
      </w:pPr>
      <w:r>
        <w:t>Accesul trebuie proiectat astfel încât festivalul să rămână relevant pentru locuitori și turiști, dar să poată genera venituri și să gestioneze capacitatea. Un model exclusiv gratuit riscă supra-aglomerarea și reduce predictibilitatea, iar un model exclusiv premium poate aliena comunitatea. Mixul dintre proiecții ticketed, programe gratuite și passes permite echilibru.</w:t>
      </w:r>
    </w:p>
    <w:p>
      <w:pPr>
        <w:pStyle w:val="Argumentare"/>
        <w:keepNext/>
      </w:pPr>
      <w:r>
        <w:t>PRICING CA INSTRUMENT DE COMPORTAMENT</w:t>
      </w:r>
    </w:p>
    <w:p>
      <w:pPr>
        <w:pStyle w:val="ArgumentBody"/>
      </w:pPr>
      <w:r>
        <w:t>Day Pass-ul și Festival Pass-ul încurajează participarea la mai multe activități și extind timpul petrecut în oraș. Industry și Business Pass-urile trebuie să includă acces funcțional la matchmaking, nu doar badge. Reducerile pentru elevi, studenți și rezidenți pot fi susținute prin sponsorizări dedicate, astfel încât accesibilitatea să nu fie finanțată exclusiv din pierderea de venit a festivalului.</w:t>
      </w:r>
    </w:p>
    <w:p>
      <w:pPr>
        <w:pStyle w:val="Argumentare"/>
        <w:keepNext/>
      </w:pPr>
      <w:r>
        <w:t>CAPACITATE ȘI REZERVARE</w:t>
      </w:r>
    </w:p>
    <w:p>
      <w:pPr>
        <w:pStyle w:val="ArgumentBody"/>
      </w:pPr>
      <w:r>
        <w:t>Pentru evenimentele gratuite cu capacitate limitată se recomandă rezervare QR. Astfel, festivalul poate gestiona fluxul și poate colecta date de participare fără a transforma experiența într-un proces birocratic. Politicile de no-show și waitlist trebuie comunicate simplu.</w:t>
      </w:r>
    </w:p>
    <w:tbl>
      <w:tblPr>
        <w:tblStyle w:val="TableGrid"/>
        <w:tblW w:type="auto" w:w="0"/>
        <w:jc w:val="center"/>
        <w:tblLayout w:type="autofit"/>
        <w:tblLook w:firstColumn="1" w:firstRow="1" w:lastColumn="0" w:lastRow="0" w:noHBand="0" w:noVBand="1" w:val="04A0"/>
      </w:tblPr>
      <w:tblGrid>
        <w:gridCol w:w="3456"/>
        <w:gridCol w:w="3456"/>
        <w:gridCol w:w="3456"/>
      </w:tblGrid>
      <w:tr>
        <w:trPr>
          <w:cantSplit/>
          <w:tblHeader w:val="true"/>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Produs</w:t>
            </w:r>
          </w:p>
        </w:tc>
        <w:tc>
          <w:tcPr>
            <w:tcW w:type="dxa" w:w="21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Preț orientativ</w:t>
            </w:r>
          </w:p>
        </w:tc>
        <w:tc>
          <w:tcPr>
            <w:tcW w:type="dxa" w:w="446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Rol</w:t>
            </w:r>
          </w:p>
        </w:tc>
      </w:tr>
      <w:tr>
        <w:trPr>
          <w:cantSplit/>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Single screening</w:t>
            </w:r>
          </w:p>
        </w:tc>
        <w:tc>
          <w:tcPr>
            <w:tcW w:type="dxa" w:w="21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6–10 EUR</w:t>
            </w:r>
          </w:p>
        </w:tc>
        <w:tc>
          <w:tcPr>
            <w:tcW w:type="dxa" w:w="446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Acces larg</w:t>
            </w:r>
          </w:p>
        </w:tc>
      </w:tr>
      <w:tr>
        <w:trPr>
          <w:cantSplit/>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Day Pass</w:t>
            </w:r>
          </w:p>
        </w:tc>
        <w:tc>
          <w:tcPr>
            <w:tcW w:type="dxa" w:w="21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20–30 EUR</w:t>
            </w:r>
          </w:p>
        </w:tc>
        <w:tc>
          <w:tcPr>
            <w:tcW w:type="dxa" w:w="446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Consum multi-event</w:t>
            </w:r>
          </w:p>
        </w:tc>
      </w:tr>
      <w:tr>
        <w:trPr>
          <w:cantSplit/>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Festival Pass</w:t>
            </w:r>
          </w:p>
        </w:tc>
        <w:tc>
          <w:tcPr>
            <w:tcW w:type="dxa" w:w="21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75–120 EUR</w:t>
            </w:r>
          </w:p>
        </w:tc>
        <w:tc>
          <w:tcPr>
            <w:tcW w:type="dxa" w:w="446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Cinefil / turist</w:t>
            </w:r>
          </w:p>
        </w:tc>
      </w:tr>
      <w:tr>
        <w:trPr>
          <w:cantSplit/>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Student / Youth</w:t>
            </w:r>
          </w:p>
        </w:tc>
        <w:tc>
          <w:tcPr>
            <w:tcW w:type="dxa" w:w="21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discount 30–50%</w:t>
            </w:r>
          </w:p>
        </w:tc>
        <w:tc>
          <w:tcPr>
            <w:tcW w:type="dxa" w:w="446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Acces generație nouă</w:t>
            </w:r>
          </w:p>
        </w:tc>
      </w:tr>
      <w:tr>
        <w:trPr>
          <w:cantSplit/>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Industry Pass</w:t>
            </w:r>
          </w:p>
        </w:tc>
        <w:tc>
          <w:tcPr>
            <w:tcW w:type="dxa" w:w="21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150–250 EUR</w:t>
            </w:r>
          </w:p>
        </w:tc>
        <w:tc>
          <w:tcPr>
            <w:tcW w:type="dxa" w:w="446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Film Market + Industry</w:t>
            </w:r>
          </w:p>
        </w:tc>
      </w:tr>
      <w:tr>
        <w:trPr>
          <w:cantSplit/>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Business Pass</w:t>
            </w:r>
          </w:p>
        </w:tc>
        <w:tc>
          <w:tcPr>
            <w:tcW w:type="dxa" w:w="21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250–400 EUR</w:t>
            </w:r>
          </w:p>
        </w:tc>
        <w:tc>
          <w:tcPr>
            <w:tcW w:type="dxa" w:w="446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Forum + matchmaking</w:t>
            </w:r>
          </w:p>
        </w:tc>
      </w:tr>
      <w:tr>
        <w:trPr>
          <w:cantSplit/>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Delegate / VIP</w:t>
            </w:r>
          </w:p>
        </w:tc>
        <w:tc>
          <w:tcPr>
            <w:tcW w:type="dxa" w:w="21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invitation / premium</w:t>
            </w:r>
          </w:p>
        </w:tc>
        <w:tc>
          <w:tcPr>
            <w:tcW w:type="dxa" w:w="446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Protocol și hospitality</w:t>
            </w:r>
          </w:p>
        </w:tc>
      </w:tr>
      <w:tr>
        <w:trPr>
          <w:cantSplit/>
        </w:trPr>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Global Village</w:t>
            </w:r>
          </w:p>
        </w:tc>
        <w:tc>
          <w:tcPr>
            <w:tcW w:type="dxa" w:w="21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gratuit / activări</w:t>
            </w:r>
          </w:p>
        </w:tc>
        <w:tc>
          <w:tcPr>
            <w:tcW w:type="dxa" w:w="446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Trafic public și incluziune</w:t>
            </w:r>
          </w:p>
        </w:tc>
      </w:tr>
    </w:tbl>
    <w:p>
      <w:pPr>
        <w:spacing w:after="0"/>
      </w:pPr>
    </w:p>
    <w:p>
      <w:r>
        <w:rPr>
          <w:color w:val="000000"/>
        </w:rPr>
        <w:t>Prețurile sunt ipoteze de modelare, nu tarife aprobate. Ediția 1 trebuie să prioritizeze formarea obiceiului de participare și accesul comunității locale, nu maximizarea veniturilor din bilete.</w:t>
      </w:r>
    </w:p>
    <w:p>
      <w:pPr>
        <w:pStyle w:val="Heading2"/>
        <w:keepNext/>
      </w:pPr>
      <w:r>
        <w:rPr>
          <w:color w:val="000000"/>
        </w:rPr>
        <w:t>Audience development</w:t>
      </w:r>
    </w:p>
    <w:p>
      <w:pPr>
        <w:pStyle w:val="ListBullet"/>
        <w:spacing w:after="36"/>
      </w:pPr>
      <w:r>
        <w:rPr>
          <w:color w:val="000000"/>
          <w:sz w:val="18"/>
        </w:rPr>
        <w:t>Program școli și licee în prima parte a zilei.</w:t>
      </w:r>
    </w:p>
    <w:p>
      <w:pPr>
        <w:pStyle w:val="ListBullet"/>
        <w:spacing w:after="36"/>
      </w:pPr>
      <w:r>
        <w:rPr>
          <w:color w:val="000000"/>
          <w:sz w:val="18"/>
        </w:rPr>
        <w:t>Family screenings și animație în weekend.</w:t>
      </w:r>
    </w:p>
    <w:p>
      <w:pPr>
        <w:pStyle w:val="ListBullet"/>
        <w:spacing w:after="36"/>
      </w:pPr>
      <w:r>
        <w:rPr>
          <w:color w:val="000000"/>
          <w:sz w:val="18"/>
        </w:rPr>
        <w:t>Volunteer / resident benefits pentru comunitatea locală.</w:t>
      </w:r>
    </w:p>
    <w:p>
      <w:pPr>
        <w:pStyle w:val="ListBullet"/>
        <w:spacing w:after="36"/>
      </w:pPr>
      <w:r>
        <w:rPr>
          <w:color w:val="000000"/>
          <w:sz w:val="18"/>
        </w:rPr>
        <w:t>Pachete turistice Film + Transylvania.</w:t>
      </w:r>
    </w:p>
    <w:p>
      <w:pPr>
        <w:pStyle w:val="ListBullet"/>
        <w:spacing w:after="36"/>
      </w:pPr>
      <w:r>
        <w:rPr>
          <w:color w:val="000000"/>
          <w:sz w:val="18"/>
        </w:rPr>
        <w:t>Accesibilitate: subtitrări, trasee, informații clare, seats allocation.</w:t>
      </w:r>
    </w:p>
    <w:p>
      <w:r>
        <w:rPr>
          <w:color w:val="000000"/>
        </w:rPr>
      </w:r>
    </w:p>
    <w:p>
      <w:pPr>
        <w:pStyle w:val="Kicker"/>
      </w:pPr>
      <w:r>
        <w:rPr>
          <w:color w:val="000000"/>
        </w:rPr>
        <w:t>CAPITAL PRIVAT CU BENEFICII MĂSURABILE</w:t>
      </w:r>
    </w:p>
    <w:p>
      <w:pPr>
        <w:pStyle w:val="Heading1"/>
        <w:keepNext/>
      </w:pPr>
      <w:r>
        <w:rPr>
          <w:color w:val="000000"/>
        </w:rPr>
        <w:t>18. Sponsorship architecture</w:t>
      </w:r>
    </w:p>
    <w:p>
      <w:pPr>
        <w:pStyle w:val="Argumentare"/>
        <w:keepNext/>
      </w:pPr>
      <w:r>
        <w:t>ARGUMENTARE STRATEGICĂ</w:t>
      </w:r>
    </w:p>
    <w:p>
      <w:pPr>
        <w:pStyle w:val="ArgumentBody"/>
      </w:pPr>
      <w:r>
        <w:t>Sponsorizarea trebuie vândută ca parteneriat de acces și reputație, nu ca inventar de logo-uri. Companiile relevante pentru festival – banking, telecom, airline, mobility, technology, hospitality – pot integra servicii care îmbunătățesc efectiv experiența participantului. Când activarea rezolvă o nevoie reală, brandul devine parte utilă din eveniment.</w:t>
      </w:r>
    </w:p>
    <w:p>
      <w:pPr>
        <w:pStyle w:val="Argumentare"/>
        <w:keepNext/>
      </w:pPr>
      <w:r>
        <w:t>VALOAREA PACHETELOR</w:t>
      </w:r>
    </w:p>
    <w:p>
      <w:pPr>
        <w:pStyle w:val="ArgumentBody"/>
      </w:pPr>
      <w:r>
        <w:t>Nivelurile de contribuție sunt repere de negociere, iar beneficiile trebuie calibrate după exclusivitate, expunere, hospitality și acces B2B. Valoarea trebuie demonstrată prin date: audiență, reach, profilul participanților și lead-uri consimțite. Ediția 1 trebuie să promită conservator și să livreze peste promisiune, pentru a construi reînnoirea pe termen lung.</w:t>
      </w:r>
    </w:p>
    <w:p>
      <w:pPr>
        <w:pStyle w:val="Argumentare"/>
        <w:keepNext/>
      </w:pPr>
      <w:r>
        <w:t>INDEPENDENȚĂ</w:t>
      </w:r>
    </w:p>
    <w:p>
      <w:pPr>
        <w:pStyle w:val="ArgumentBody"/>
      </w:pPr>
      <w:r>
        <w:t>Contractele de sponsorizare trebuie să conțină limite explicite privind selecția artistică, juriile, presa și datele participanților. Această separare protejează sponsorul la fel de mult ca festivalul, deoarece evită percepția de influență necorespunzătoare.</w:t>
      </w:r>
    </w:p>
    <w:tbl>
      <w:tblPr>
        <w:tblStyle w:val="TableGrid"/>
        <w:tblW w:type="auto" w:w="0"/>
        <w:jc w:val="center"/>
        <w:tblLayout w:type="autofit"/>
        <w:tblLook w:firstColumn="1" w:firstRow="1" w:lastColumn="0" w:lastRow="0" w:noHBand="0" w:noVBand="1" w:val="04A0"/>
      </w:tblPr>
      <w:tblGrid>
        <w:gridCol w:w="3456"/>
        <w:gridCol w:w="3456"/>
        <w:gridCol w:w="3456"/>
      </w:tblGrid>
      <w:tr>
        <w:trPr>
          <w:cantSplit/>
          <w:tblHeader w:val="true"/>
        </w:trPr>
        <w:tc>
          <w:tcPr>
            <w:tcW w:type="dxa" w:w="230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Nivel</w:t>
            </w:r>
          </w:p>
        </w:tc>
        <w:tc>
          <w:tcPr>
            <w:tcW w:type="dxa" w:w="201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Contribuție orientativă</w:t>
            </w:r>
          </w:p>
        </w:tc>
        <w:tc>
          <w:tcPr>
            <w:tcW w:type="dxa" w:w="547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Beneficii / principiu</w:t>
            </w:r>
          </w:p>
        </w:tc>
      </w:tr>
      <w:tr>
        <w:trPr>
          <w:cantSplit/>
        </w:trPr>
        <w:tc>
          <w:tcPr>
            <w:tcW w:type="dxa" w:w="230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FOUNDING PARTNER</w:t>
            </w:r>
          </w:p>
        </w:tc>
        <w:tc>
          <w:tcPr>
            <w:tcW w:type="dxa" w:w="201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150.000+ EUR</w:t>
            </w:r>
          </w:p>
        </w:tc>
        <w:tc>
          <w:tcPr>
            <w:tcW w:type="dxa" w:w="547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3 ani recomandat; categorie exclusivă negociată; naming secundar; hospitality; B2B; content</w:t>
            </w:r>
          </w:p>
        </w:tc>
      </w:tr>
      <w:tr>
        <w:trPr>
          <w:cantSplit/>
        </w:trPr>
        <w:tc>
          <w:tcPr>
            <w:tcW w:type="dxa" w:w="230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MAIN PARTNER</w:t>
            </w:r>
          </w:p>
        </w:tc>
        <w:tc>
          <w:tcPr>
            <w:tcW w:type="dxa" w:w="201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75.000 EUR</w:t>
            </w:r>
          </w:p>
        </w:tc>
        <w:tc>
          <w:tcPr>
            <w:tcW w:type="dxa" w:w="547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Vizibilitate transversală; gala / venue / program association; VIP + B2B</w:t>
            </w:r>
          </w:p>
        </w:tc>
      </w:tr>
      <w:tr>
        <w:trPr>
          <w:cantSplit/>
        </w:trPr>
        <w:tc>
          <w:tcPr>
            <w:tcW w:type="dxa" w:w="230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OFFICIAL PARTNER</w:t>
            </w:r>
          </w:p>
        </w:tc>
        <w:tc>
          <w:tcPr>
            <w:tcW w:type="dxa" w:w="201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30.000 EUR</w:t>
            </w:r>
          </w:p>
        </w:tc>
        <w:tc>
          <w:tcPr>
            <w:tcW w:type="dxa" w:w="547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Categorie: airline, bank, telecom, hotel, mobility, tech etc.</w:t>
            </w:r>
          </w:p>
        </w:tc>
      </w:tr>
      <w:tr>
        <w:trPr>
          <w:cantSplit/>
        </w:trPr>
        <w:tc>
          <w:tcPr>
            <w:tcW w:type="dxa" w:w="230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PROGRAM PARTNER</w:t>
            </w:r>
          </w:p>
        </w:tc>
        <w:tc>
          <w:tcPr>
            <w:tcW w:type="dxa" w:w="201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15.000 EUR</w:t>
            </w:r>
          </w:p>
        </w:tc>
        <w:tc>
          <w:tcPr>
            <w:tcW w:type="dxa" w:w="547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Film Market, Talks, Academy, Village, Romanian Night etc.</w:t>
            </w:r>
          </w:p>
        </w:tc>
      </w:tr>
      <w:tr>
        <w:trPr>
          <w:cantSplit/>
        </w:trPr>
        <w:tc>
          <w:tcPr>
            <w:tcW w:type="dxa" w:w="230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SUPPORTING PARTNER</w:t>
            </w:r>
          </w:p>
        </w:tc>
        <w:tc>
          <w:tcPr>
            <w:tcW w:type="dxa" w:w="201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7.500 EUR</w:t>
            </w:r>
          </w:p>
        </w:tc>
        <w:tc>
          <w:tcPr>
            <w:tcW w:type="dxa" w:w="547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Vizibilitate selectivă și hospitality</w:t>
            </w:r>
          </w:p>
        </w:tc>
      </w:tr>
      <w:tr>
        <w:trPr>
          <w:cantSplit/>
        </w:trPr>
        <w:tc>
          <w:tcPr>
            <w:tcW w:type="dxa" w:w="230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IN-KIND PARTNER</w:t>
            </w:r>
          </w:p>
        </w:tc>
        <w:tc>
          <w:tcPr>
            <w:tcW w:type="dxa" w:w="201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valoare evaluată</w:t>
            </w:r>
          </w:p>
        </w:tc>
        <w:tc>
          <w:tcPr>
            <w:tcW w:type="dxa" w:w="547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Hotel, travel, fleet, production, media, technology; contract și evaluare clară</w:t>
            </w:r>
          </w:p>
        </w:tc>
      </w:tr>
    </w:tbl>
    <w:p>
      <w:pPr>
        <w:spacing w:after="0"/>
      </w:pPr>
    </w:p>
    <w:p>
      <w:pPr>
        <w:pStyle w:val="Heading2"/>
        <w:keepNext/>
      </w:pPr>
      <w:r>
        <w:rPr>
          <w:color w:val="000000"/>
        </w:rPr>
        <w:t>Inventar comercial</w:t>
      </w:r>
    </w:p>
    <w:p>
      <w:pPr>
        <w:pStyle w:val="ListBullet"/>
        <w:spacing w:after="36"/>
      </w:pPr>
      <w:r>
        <w:rPr>
          <w:color w:val="000000"/>
          <w:sz w:val="18"/>
        </w:rPr>
        <w:t>Presented by / Founding partner lockup</w:t>
      </w:r>
    </w:p>
    <w:p>
      <w:pPr>
        <w:pStyle w:val="ListBullet"/>
        <w:spacing w:after="36"/>
      </w:pPr>
      <w:r>
        <w:rPr>
          <w:color w:val="000000"/>
          <w:sz w:val="18"/>
        </w:rPr>
        <w:t>Official Airline / Bank / Car / Hotel / Telecom / Technology</w:t>
      </w:r>
    </w:p>
    <w:p>
      <w:pPr>
        <w:pStyle w:val="ListBullet"/>
        <w:spacing w:after="36"/>
      </w:pPr>
      <w:r>
        <w:rPr>
          <w:color w:val="000000"/>
          <w:sz w:val="18"/>
        </w:rPr>
        <w:t>Naming pentru Industry Hub / Business Lounge / Media Center</w:t>
      </w:r>
    </w:p>
    <w:p>
      <w:pPr>
        <w:pStyle w:val="ListBullet"/>
        <w:spacing w:after="36"/>
      </w:pPr>
      <w:r>
        <w:rPr>
          <w:color w:val="000000"/>
          <w:sz w:val="18"/>
        </w:rPr>
        <w:t>Sponsored masterclass / award / gala — fără influență asupra selecției sau jurizării</w:t>
      </w:r>
    </w:p>
    <w:p>
      <w:pPr>
        <w:pStyle w:val="ListBullet"/>
        <w:spacing w:after="36"/>
      </w:pPr>
      <w:r>
        <w:rPr>
          <w:color w:val="000000"/>
          <w:sz w:val="18"/>
        </w:rPr>
        <w:t>Hospitality, B2B introductions, content, sampling / activation, data only with consent</w:t>
      </w:r>
    </w:p>
    <w:tbl>
      <w:tblPr>
        <w:tblW w:type="auto" w:w="0"/>
        <w:jc w:val="center"/>
        <w:tblLayout w:type="autofit"/>
        <w:tblLook w:firstColumn="1" w:firstRow="1" w:lastColumn="0" w:lastRow="0" w:noHBand="0" w:noVBand="1" w:val="04A0"/>
      </w:tblPr>
      <w:tblGrid>
        <w:gridCol w:w="10368"/>
      </w:tblGrid>
      <w:tr>
        <w:trPr>
          <w:cantSplit/>
        </w:trPr>
        <w:tc>
          <w:tcPr>
            <w:tcW w:type="dxa" w:w="10368"/>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vAlign w:val="center"/>
          </w:tcPr>
          <w:p>
            <w:pPr>
              <w:spacing w:after="40" w:before="20"/>
            </w:pPr>
            <w:r>
              <w:rPr>
                <w:rFonts w:ascii="Aptos" w:hAnsi="Aptos"/>
                <w:color w:val="000000"/>
                <w:sz w:val="16"/>
              </w:rPr>
            </w:r>
            <w:r>
              <w:rPr>
                <w:rFonts w:ascii="Aptos" w:hAnsi="Aptos"/>
                <w:b/>
                <w:color w:val="000000"/>
                <w:sz w:val="16"/>
              </w:rPr>
              <w:t>REGULĂ</w:t>
              <w:br/>
            </w:r>
            <w:r>
              <w:rPr>
                <w:rFonts w:ascii="Aptos" w:hAnsi="Aptos"/>
                <w:color w:val="000000"/>
                <w:sz w:val="16"/>
              </w:rPr>
              <w:t>Beneficiile comerciale nu pot cumpăra selecția artistică, premiile, acreditarea editorială sau accesul necontrolat la datele participanților.</w:t>
            </w:r>
          </w:p>
        </w:tc>
      </w:tr>
    </w:tbl>
    <w:p>
      <w:pPr>
        <w:spacing w:after="0"/>
      </w:pPr>
    </w:p>
    <w:p>
      <w:r>
        <w:rPr>
          <w:color w:val="000000"/>
        </w:rPr>
      </w:r>
    </w:p>
    <w:p>
      <w:pPr>
        <w:pStyle w:val="Kicker"/>
      </w:pPr>
      <w:r>
        <w:rPr>
          <w:color w:val="000000"/>
        </w:rPr>
        <w:t>SCENARIU DE REFERINȚĂ: 1.200.000 EUR</w:t>
      </w:r>
    </w:p>
    <w:p>
      <w:pPr>
        <w:pStyle w:val="Heading1"/>
        <w:keepNext/>
      </w:pPr>
      <w:r>
        <w:rPr>
          <w:color w:val="000000"/>
        </w:rPr>
        <w:t>19. Buget complet – ediția 1</w:t>
      </w:r>
    </w:p>
    <w:p>
      <w:pPr>
        <w:pStyle w:val="Argumentare"/>
        <w:keepNext/>
      </w:pPr>
      <w:r>
        <w:t>ARGUMENTARE STRATEGICĂ</w:t>
      </w:r>
    </w:p>
    <w:p>
      <w:pPr>
        <w:pStyle w:val="ArgumentBody"/>
      </w:pPr>
      <w:r>
        <w:t>Bugetul de 1,2 milioane EUR este un scenariu de proiectare pentru o ediție internațională reală, nu o evaluare finală de achiziție. Rolul lui este să arate ordinea de mărime și să evite sub-bugetarea componentelor critice. Festivalurile devin vulnerabile când finanțează decorul și promovarea, dar comprimă hospitality-ul, subtitrările, securitatea sau tehnicul – exact zonele care definesc calitatea percepută de invitați.</w:t>
      </w:r>
    </w:p>
    <w:p>
      <w:pPr>
        <w:pStyle w:val="Argumentare"/>
        <w:keepNext/>
      </w:pPr>
      <w:r>
        <w:t>COST FIX VS. COST SCALABIL</w:t>
      </w:r>
    </w:p>
    <w:p>
      <w:pPr>
        <w:pStyle w:val="ArgumentBody"/>
      </w:pPr>
      <w:r>
        <w:t>Capitolele trebuie împărțite în costuri obligatorii pentru deschiderea festivalului și module care pot fi reduse dacă finanțarea nu atinge ținta. Siguranța, drepturile filmelor, infrastructura de bază și personalul critic nu se scalează sub un prag minim. Concertele, decorul extins, numărul de invitați sau unele activări pot fi dimensionate în funcție de venituri.</w:t>
      </w:r>
    </w:p>
    <w:p>
      <w:pPr>
        <w:pStyle w:val="Argumentare"/>
        <w:keepNext/>
      </w:pPr>
      <w:r>
        <w:t>CONTROL FINANCIAR</w:t>
      </w:r>
    </w:p>
    <w:p>
      <w:pPr>
        <w:pStyle w:val="ArgumentBody"/>
      </w:pPr>
      <w:r>
        <w:t>Bugetul trebuie actualizat lunar prin committed / contracted / forecast / paid, cu cash-flow separat de P&amp;L. Un proiect poate fi echilibrat pe hârtie și totuși să intre în criză dacă granturile sau sponsorizările sunt încasate după scadențele furnizorilor. De aceea, rezervele și calendarul de plăți sunt la fel de importante ca totalul anual.</w:t>
      </w:r>
    </w:p>
    <w:tbl>
      <w:tblPr>
        <w:tblStyle w:val="TableGrid"/>
        <w:tblW w:type="auto" w:w="0"/>
        <w:jc w:val="center"/>
        <w:tblLayout w:type="autofit"/>
        <w:tblLook w:firstColumn="1" w:firstRow="1" w:lastColumn="0" w:lastRow="0" w:noHBand="0" w:noVBand="1" w:val="04A0"/>
      </w:tblPr>
      <w:tblGrid>
        <w:gridCol w:w="3456"/>
        <w:gridCol w:w="3456"/>
        <w:gridCol w:w="3456"/>
      </w:tblGrid>
      <w:tr>
        <w:trPr>
          <w:cantSplit/>
          <w:tblHeader w:val="true"/>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Capitol</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EUR</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w:t>
            </w:r>
          </w:p>
        </w:tc>
      </w:tr>
      <w:tr>
        <w:trPr>
          <w:cantSplit/>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Program film: rights, curating, subtitrări, DCP, QC</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150.000</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12,5%</w:t>
            </w:r>
          </w:p>
        </w:tc>
      </w:tr>
      <w:tr>
        <w:trPr>
          <w:cantSplit/>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Invitați: transport, cazare, hospitality, protocol</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160.000</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13,3%</w:t>
            </w:r>
          </w:p>
        </w:tc>
      </w:tr>
      <w:tr>
        <w:trPr>
          <w:cantSplit/>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Producție tehnică: săli, outdoor, AV, scenă, energie</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150.000</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12,5%</w:t>
            </w:r>
          </w:p>
        </w:tc>
      </w:tr>
      <w:tr>
        <w:trPr>
          <w:cantSplit/>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Locații, infrastructură temporară, mobilier, signage</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80.000</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6,7%</w:t>
            </w:r>
          </w:p>
        </w:tc>
      </w:tr>
      <w:tr>
        <w:trPr>
          <w:cantSplit/>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Echipă, management, contractori, voluntari</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135.000</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11,3%</w:t>
            </w:r>
          </w:p>
        </w:tc>
      </w:tr>
      <w:tr>
        <w:trPr>
          <w:cantSplit/>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Marketing, PR, media buying, content</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110.000</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9,2%</w:t>
            </w:r>
          </w:p>
        </w:tc>
      </w:tr>
      <w:tr>
        <w:trPr>
          <w:cantSplit/>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Film Market + Co-production Lab</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85.000</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7,1%</w:t>
            </w:r>
          </w:p>
        </w:tc>
      </w:tr>
      <w:tr>
        <w:trPr>
          <w:cantSplit/>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Business Forum + matchmaking</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55.000</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4,6%</w:t>
            </w:r>
          </w:p>
        </w:tc>
      </w:tr>
      <w:tr>
        <w:trPr>
          <w:cantSplit/>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Global Village + cultural program</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70.000</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5,8%</w:t>
            </w:r>
          </w:p>
        </w:tc>
      </w:tr>
      <w:tr>
        <w:trPr>
          <w:cantSplit/>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Concerte / GHFF Nights</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55.000</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4,6%</w:t>
            </w:r>
          </w:p>
        </w:tc>
      </w:tr>
      <w:tr>
        <w:trPr>
          <w:cantSplit/>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Digital platform, ticketing, accreditation, app</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40.000</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3,3%</w:t>
            </w:r>
          </w:p>
        </w:tc>
      </w:tr>
      <w:tr>
        <w:trPr>
          <w:cantSplit/>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Transport local / logistics / freight</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30.000</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2,5%</w:t>
            </w:r>
          </w:p>
        </w:tc>
      </w:tr>
      <w:tr>
        <w:trPr>
          <w:cantSplit/>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Premii / project awards</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25.000</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2,1%</w:t>
            </w:r>
          </w:p>
        </w:tc>
      </w:tr>
      <w:tr>
        <w:trPr>
          <w:cantSplit/>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Legal, insurance, accounting, permits</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20.000</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1,7%</w:t>
            </w:r>
          </w:p>
        </w:tc>
      </w:tr>
      <w:tr>
        <w:trPr>
          <w:cantSplit/>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Contingency / reserve</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35.000</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2,9%</w:t>
            </w:r>
          </w:p>
        </w:tc>
      </w:tr>
    </w:tbl>
    <w:p>
      <w:pPr>
        <w:spacing w:after="0"/>
      </w:pPr>
    </w:p>
    <w:p>
      <w:r>
        <w:rPr>
          <w:color w:val="000000"/>
        </w:rPr>
        <w:t>TOTAL: 1.200.000 EUR. Bugetul este o ipoteză de planificare la nivel Master Project. Devizul final se construiește după auditul locațiilor, calendarul invitaților, oferta tehnică și contribuțiile in-kind.</w:t>
      </w:r>
    </w:p>
    <w:p>
      <w:r>
        <w:rPr>
          <w:color w:val="000000"/>
        </w:rPr>
      </w:r>
    </w:p>
    <w:p>
      <w:pPr>
        <w:pStyle w:val="Kicker"/>
      </w:pPr>
      <w:r>
        <w:rPr>
          <w:color w:val="000000"/>
        </w:rPr>
        <w:t>MIX FĂRĂ DEPENDENȚĂ DE O SINGURĂ SURSĂ</w:t>
      </w:r>
    </w:p>
    <w:p>
      <w:pPr>
        <w:pStyle w:val="Heading1"/>
        <w:keepNext/>
      </w:pPr>
      <w:r>
        <w:rPr>
          <w:color w:val="000000"/>
        </w:rPr>
        <w:t>20. Structura de finanțare – ediția 1</w:t>
      </w:r>
    </w:p>
    <w:p>
      <w:pPr>
        <w:pStyle w:val="Argumentare"/>
        <w:keepNext/>
      </w:pPr>
      <w:r>
        <w:t>ARGUMENTARE STRATEGICĂ</w:t>
      </w:r>
    </w:p>
    <w:p>
      <w:pPr>
        <w:pStyle w:val="ArgumentBody"/>
      </w:pPr>
      <w:r>
        <w:t>Mixul de finanțare este conceput pentru reziliență. Dependența de un singur finanțator face proiectul vulnerabil la schimbări administrative, economice sau geopolitice. În schimb, o combinație de fonduri publice, sponsorizări, contribuții ale partenerilor internaționali, granturi și venituri proprii distribuie riscul.</w:t>
      </w:r>
    </w:p>
    <w:p>
      <w:pPr>
        <w:pStyle w:val="Argumentare"/>
        <w:keepNext/>
      </w:pPr>
      <w:r>
        <w:t>ROLUL FINANȚĂRII PUBLICE</w:t>
      </w:r>
    </w:p>
    <w:p>
      <w:pPr>
        <w:pStyle w:val="ArgumentBody"/>
      </w:pPr>
      <w:r>
        <w:t>Contribuția publică nu trebuie justificată prin vizibilitate publicitară, ci prin externalități: acces cultural, promovarea patrimoniului, turism, educație, diplomație culturală și impact economic local. Sponsorizarea privată urmărește alte rezultate și nu poate substitui în totalitate rolul public. Un model sănătos păstrează ambele surse, dar crește treptat capacitatea de venit propriu.</w:t>
      </w:r>
    </w:p>
    <w:p>
      <w:pPr>
        <w:pStyle w:val="Argumentare"/>
        <w:keepNext/>
      </w:pPr>
      <w:r>
        <w:t>PRAGUL GO / NO-GO</w:t>
      </w:r>
    </w:p>
    <w:p>
      <w:pPr>
        <w:pStyle w:val="ArgumentBody"/>
      </w:pPr>
      <w:r>
        <w:t>Regula de 80% finanțare sigură la T–120 protejează reputația. Dacă festivalul contractează programul complet fără acoperire, ultimele luni devin o cursă de finanțare care degradează negocierea și poate produce datorii. Pragul permite activarea din timp a unui scenariu redus, cu comunicare controlată, în locul unor anulări târzii.</w:t>
      </w:r>
    </w:p>
    <w:tbl>
      <w:tblPr>
        <w:tblStyle w:val="TableGrid"/>
        <w:tblW w:type="auto" w:w="0"/>
        <w:jc w:val="center"/>
        <w:tblLayout w:type="autofit"/>
        <w:tblLook w:firstColumn="1" w:firstRow="1" w:lastColumn="0" w:lastRow="0" w:noHBand="0" w:noVBand="1" w:val="04A0"/>
      </w:tblPr>
      <w:tblGrid>
        <w:gridCol w:w="3456"/>
        <w:gridCol w:w="3456"/>
        <w:gridCol w:w="3456"/>
      </w:tblGrid>
      <w:tr>
        <w:trPr>
          <w:cantSplit/>
          <w:tblHeader w:val="true"/>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Sursă</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EUR</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w:t>
            </w:r>
          </w:p>
        </w:tc>
      </w:tr>
      <w:tr>
        <w:trPr>
          <w:cantSplit/>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Finanțare publică locală / națională</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360.000</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30%</w:t>
            </w:r>
          </w:p>
        </w:tc>
      </w:tr>
      <w:tr>
        <w:trPr>
          <w:cantSplit/>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Sponsori / corporate</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300.000</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25%</w:t>
            </w:r>
          </w:p>
        </w:tc>
      </w:tr>
      <w:tr>
        <w:trPr>
          <w:cantSplit/>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Country partners / instituții internaționale</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144.000</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12%</w:t>
            </w:r>
          </w:p>
        </w:tc>
      </w:tr>
      <w:tr>
        <w:trPr>
          <w:cantSplit/>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Granturi culturale / europene eligibile</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120.000</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10%</w:t>
            </w:r>
          </w:p>
        </w:tc>
      </w:tr>
      <w:tr>
        <w:trPr>
          <w:cantSplit/>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Ticketing + passes</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120.000</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10%</w:t>
            </w:r>
          </w:p>
        </w:tc>
      </w:tr>
      <w:tr>
        <w:trPr>
          <w:cantSplit/>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Film Market / exhibitors / industry</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96.000</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8%</w:t>
            </w:r>
          </w:p>
        </w:tc>
      </w:tr>
      <w:tr>
        <w:trPr>
          <w:cantSplit/>
        </w:trPr>
        <w:tc>
          <w:tcPr>
            <w:tcW w:type="dxa" w:w="64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Hospitality / licensing / alte venituri</w:t>
            </w:r>
          </w:p>
        </w:tc>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60.000</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5%</w:t>
            </w:r>
          </w:p>
        </w:tc>
      </w:tr>
    </w:tbl>
    <w:p>
      <w:pPr>
        <w:spacing w:after="0"/>
      </w:pPr>
    </w:p>
    <w:tbl>
      <w:tblPr>
        <w:tblW w:type="auto" w:w="0"/>
        <w:jc w:val="center"/>
        <w:tblLayout w:type="autofit"/>
        <w:tblLook w:firstColumn="1" w:firstRow="1" w:lastColumn="0" w:lastRow="0" w:noHBand="0" w:noVBand="1" w:val="04A0"/>
      </w:tblPr>
      <w:tblGrid>
        <w:gridCol w:w="10368"/>
      </w:tblGrid>
      <w:tr>
        <w:trPr>
          <w:cantSplit/>
        </w:trPr>
        <w:tc>
          <w:tcPr>
            <w:tcW w:type="dxa" w:w="10368"/>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vAlign w:val="center"/>
          </w:tcPr>
          <w:p>
            <w:pPr>
              <w:spacing w:after="40" w:before="20"/>
            </w:pPr>
            <w:r>
              <w:rPr>
                <w:rFonts w:ascii="Aptos" w:hAnsi="Aptos"/>
                <w:color w:val="000000"/>
                <w:sz w:val="16"/>
              </w:rPr>
            </w:r>
            <w:r>
              <w:rPr>
                <w:rFonts w:ascii="Aptos" w:hAnsi="Aptos"/>
                <w:b/>
                <w:color w:val="000000"/>
                <w:sz w:val="16"/>
              </w:rPr>
              <w:t>PRAG DE GO / NO-GO</w:t>
              <w:br/>
            </w:r>
            <w:r>
              <w:rPr>
                <w:rFonts w:ascii="Aptos" w:hAnsi="Aptos"/>
                <w:color w:val="000000"/>
                <w:sz w:val="16"/>
              </w:rPr>
              <w:t>Cu 120 zile înainte de festival, minimum 80% din buget trebuie să fie contractat sau acoperit prin angajamente ferme / venituri foarte predictibile. Elemente scalabile — concerte mari, decoruri, hospitality premium — se contractează după atingerea pragurilor de finanțare.</w:t>
            </w:r>
          </w:p>
        </w:tc>
      </w:tr>
    </w:tbl>
    <w:p>
      <w:pPr>
        <w:spacing w:after="0"/>
      </w:pPr>
    </w:p>
    <w:p>
      <w:pPr>
        <w:pStyle w:val="Heading2"/>
        <w:keepNext/>
      </w:pPr>
      <w:r>
        <w:rPr>
          <w:color w:val="000000"/>
        </w:rPr>
        <w:t>Principii de cash-flow</w:t>
      </w:r>
    </w:p>
    <w:p>
      <w:pPr>
        <w:pStyle w:val="ListBullet"/>
        <w:spacing w:after="36"/>
      </w:pPr>
      <w:r>
        <w:rPr>
          <w:color w:val="000000"/>
          <w:sz w:val="18"/>
        </w:rPr>
        <w:t>Rezervă de lichiditate: minimum 8–10% din costurile rămase în ultimele 60 zile.</w:t>
      </w:r>
    </w:p>
    <w:p>
      <w:pPr>
        <w:pStyle w:val="ListBullet"/>
        <w:spacing w:after="36"/>
      </w:pPr>
      <w:r>
        <w:rPr>
          <w:color w:val="000000"/>
          <w:sz w:val="18"/>
        </w:rPr>
        <w:t>Nu se includ în buget granturi neaprobate ca venit sigur.</w:t>
      </w:r>
    </w:p>
    <w:p>
      <w:pPr>
        <w:pStyle w:val="ListBullet"/>
        <w:spacing w:after="36"/>
      </w:pPr>
      <w:r>
        <w:rPr>
          <w:color w:val="000000"/>
          <w:sz w:val="18"/>
        </w:rPr>
        <w:t>Contribuțiile in-kind se evaluează separat și nu maschează cash requirements.</w:t>
      </w:r>
    </w:p>
    <w:p>
      <w:pPr>
        <w:pStyle w:val="ListBullet"/>
        <w:spacing w:after="36"/>
      </w:pPr>
      <w:r>
        <w:rPr>
          <w:color w:val="000000"/>
          <w:sz w:val="18"/>
        </w:rPr>
        <w:t>Avansurile tehnice / travel / rights trebuie cartografiate lunar.</w:t>
      </w:r>
    </w:p>
    <w:p>
      <w:r>
        <w:rPr>
          <w:color w:val="000000"/>
        </w:rPr>
      </w:r>
    </w:p>
    <w:p>
      <w:pPr>
        <w:pStyle w:val="Kicker"/>
      </w:pPr>
      <w:r>
        <w:rPr>
          <w:color w:val="000000"/>
        </w:rPr>
        <w:t>CREȘTERE CONTROLATĂ ȘI DIVERSIFICARE</w:t>
      </w:r>
    </w:p>
    <w:p>
      <w:pPr>
        <w:pStyle w:val="Heading1"/>
        <w:keepNext/>
      </w:pPr>
      <w:r>
        <w:rPr>
          <w:color w:val="000000"/>
        </w:rPr>
        <w:t>21. Plan financiar pe 5 ani</w:t>
      </w:r>
    </w:p>
    <w:p>
      <w:pPr>
        <w:pStyle w:val="Argumentare"/>
        <w:keepNext/>
      </w:pPr>
      <w:r>
        <w:t>ARGUMENTARE STRATEGICĂ</w:t>
      </w:r>
    </w:p>
    <w:p>
      <w:pPr>
        <w:pStyle w:val="ArgumentBody"/>
      </w:pPr>
      <w:r>
        <w:t>Planul financiar pe cinci ani este o hartă de maturizare, nu o promisiune de creștere automată. Extinderea bugetului trebuie condiționată de rezultate: audiență, reînnoirea sponsorilor, venituri proprii și calitatea market-ului. Dacă acești indicatori stagnează, dimensiunea evenimentului trebuie menținută sau recalibrată.</w:t>
      </w:r>
    </w:p>
    <w:p>
      <w:pPr>
        <w:pStyle w:val="Argumentare"/>
        <w:keepNext/>
      </w:pPr>
      <w:r>
        <w:t>SCHIMBAREA MIXULUI</w:t>
      </w:r>
    </w:p>
    <w:p>
      <w:pPr>
        <w:pStyle w:val="ArgumentBody"/>
      </w:pPr>
      <w:r>
        <w:t>Scăderea ponderii publice în termeni procentuali nu înseamnă retragerea autorităților. Dimpotrivă, un parteneriat public stabil poate atrage capital privat prin reducerea riscului perceput. Pe măsură ce festivalul produce date și reputație, corporate, ticketing, market fees și hospitality pot crește mai repede decât finanțarea publică.</w:t>
      </w:r>
    </w:p>
    <w:p>
      <w:pPr>
        <w:pStyle w:val="Argumentare"/>
        <w:keepNext/>
      </w:pPr>
      <w:r>
        <w:t>ANUL 5</w:t>
      </w:r>
    </w:p>
    <w:p>
      <w:pPr>
        <w:pStyle w:val="ArgumentBody"/>
      </w:pPr>
      <w:r>
        <w:t>În anul 5 poate fi analizată o structură permanentă, dar numai după un studiu separat de fezabilitate. Festivalul nu trebuie să își blocheze capitalul într-o clădire dacă misiunea poate fi îndeplinită mai eficient prin parteneriate cu spațiile existente.</w:t>
      </w:r>
    </w:p>
    <w:tbl>
      <w:tblPr>
        <w:tblStyle w:val="TableGrid"/>
        <w:tblW w:type="auto" w:w="0"/>
        <w:jc w:val="center"/>
        <w:tblLayout w:type="autofit"/>
        <w:tblLook w:firstColumn="1" w:firstRow="1" w:lastColumn="0" w:lastRow="0" w:noHBand="0" w:noVBand="1" w:val="04A0"/>
      </w:tblPr>
      <w:tblGrid>
        <w:gridCol w:w="1481"/>
        <w:gridCol w:w="1481"/>
        <w:gridCol w:w="1481"/>
        <w:gridCol w:w="1481"/>
        <w:gridCol w:w="1481"/>
        <w:gridCol w:w="1481"/>
        <w:gridCol w:w="1481"/>
      </w:tblGrid>
      <w:tr>
        <w:trPr>
          <w:cantSplit/>
          <w:tblHeader w:val="true"/>
        </w:trPr>
        <w:tc>
          <w:tcPr>
            <w:tcW w:type="dxa" w:w="10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An</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Buget</w:t>
            </w:r>
          </w:p>
        </w:tc>
        <w:tc>
          <w:tcPr>
            <w:tcW w:type="dxa" w:w="10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Public</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Corporate</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Earned*</w:t>
            </w:r>
          </w:p>
        </w:tc>
        <w:tc>
          <w:tcPr>
            <w:tcW w:type="dxa" w:w="129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Intl./grants</w:t>
            </w:r>
          </w:p>
        </w:tc>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Etapă</w:t>
            </w:r>
          </w:p>
        </w:tc>
      </w:tr>
      <w:tr>
        <w:trPr>
          <w:cantSplit/>
        </w:trPr>
        <w:tc>
          <w:tcPr>
            <w:tcW w:type="dxa" w:w="10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Anul 1</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1,20 M</w:t>
            </w:r>
          </w:p>
        </w:tc>
        <w:tc>
          <w:tcPr>
            <w:tcW w:type="dxa" w:w="10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30%</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25%</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20%</w:t>
            </w:r>
          </w:p>
        </w:tc>
        <w:tc>
          <w:tcPr>
            <w:tcW w:type="dxa" w:w="129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25%</w:t>
            </w:r>
          </w:p>
        </w:tc>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Lansare / validare</w:t>
            </w:r>
          </w:p>
        </w:tc>
      </w:tr>
      <w:tr>
        <w:trPr>
          <w:cantSplit/>
        </w:trPr>
        <w:tc>
          <w:tcPr>
            <w:tcW w:type="dxa" w:w="10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Anul 2</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1,45 M</w:t>
            </w:r>
          </w:p>
        </w:tc>
        <w:tc>
          <w:tcPr>
            <w:tcW w:type="dxa" w:w="10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29%</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27%</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21%</w:t>
            </w:r>
          </w:p>
        </w:tc>
        <w:tc>
          <w:tcPr>
            <w:tcW w:type="dxa" w:w="129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23%</w:t>
            </w:r>
          </w:p>
        </w:tc>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Market extins</w:t>
            </w:r>
          </w:p>
        </w:tc>
      </w:tr>
      <w:tr>
        <w:trPr>
          <w:cantSplit/>
        </w:trPr>
        <w:tc>
          <w:tcPr>
            <w:tcW w:type="dxa" w:w="10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Anul 3</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1,75 M</w:t>
            </w:r>
          </w:p>
        </w:tc>
        <w:tc>
          <w:tcPr>
            <w:tcW w:type="dxa" w:w="10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27%</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29%</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23%</w:t>
            </w:r>
          </w:p>
        </w:tc>
        <w:tc>
          <w:tcPr>
            <w:tcW w:type="dxa" w:w="129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21%</w:t>
            </w:r>
          </w:p>
        </w:tc>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Hub regional consolidat</w:t>
            </w:r>
          </w:p>
        </w:tc>
      </w:tr>
      <w:tr>
        <w:trPr>
          <w:cantSplit/>
        </w:trPr>
        <w:tc>
          <w:tcPr>
            <w:tcW w:type="dxa" w:w="10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Anul 4</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2,05 M</w:t>
            </w:r>
          </w:p>
        </w:tc>
        <w:tc>
          <w:tcPr>
            <w:tcW w:type="dxa" w:w="10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25%</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31%</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25%</w:t>
            </w:r>
          </w:p>
        </w:tc>
        <w:tc>
          <w:tcPr>
            <w:tcW w:type="dxa" w:w="129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19%</w:t>
            </w:r>
          </w:p>
        </w:tc>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Program permanent parțial</w:t>
            </w:r>
          </w:p>
        </w:tc>
      </w:tr>
      <w:tr>
        <w:trPr>
          <w:cantSplit/>
        </w:trPr>
        <w:tc>
          <w:tcPr>
            <w:tcW w:type="dxa" w:w="10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Anul 5</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2,40 M</w:t>
            </w:r>
          </w:p>
        </w:tc>
        <w:tc>
          <w:tcPr>
            <w:tcW w:type="dxa" w:w="100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23%</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33%</w:t>
            </w:r>
          </w:p>
        </w:tc>
        <w:tc>
          <w:tcPr>
            <w:tcW w:type="dxa" w:w="11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27%</w:t>
            </w:r>
          </w:p>
        </w:tc>
        <w:tc>
          <w:tcPr>
            <w:tcW w:type="dxa" w:w="129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17%</w:t>
            </w:r>
          </w:p>
        </w:tc>
        <w:tc>
          <w:tcPr>
            <w:tcW w:type="dxa" w:w="3024"/>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Sighișoara Global Hub Center</w:t>
            </w:r>
          </w:p>
        </w:tc>
      </w:tr>
    </w:tbl>
    <w:p>
      <w:pPr>
        <w:spacing w:after="0"/>
      </w:pPr>
    </w:p>
    <w:p>
      <w:r>
        <w:rPr>
          <w:color w:val="000000"/>
        </w:rPr>
        <w:t>* Earned = ticketing, passes, market, exhibitors, licensing, hospitality și programe comerciale. Procentele sunt ținte strategice, nu previziuni garantate.</w:t>
      </w:r>
    </w:p>
    <w:p>
      <w:pPr>
        <w:pStyle w:val="Heading2"/>
        <w:keepNext/>
      </w:pPr>
      <w:r>
        <w:rPr>
          <w:color w:val="000000"/>
        </w:rPr>
        <w:t>Scenariu valoric</w:t>
      </w:r>
    </w:p>
    <w:p>
      <w:pPr>
        <w:pStyle w:val="ListBullet"/>
        <w:spacing w:after="36"/>
      </w:pPr>
      <w:r>
        <w:rPr>
          <w:color w:val="000000"/>
          <w:sz w:val="18"/>
        </w:rPr>
        <w:t>Buget cumulat 5 ani: aproximativ 8,85 milioane EUR.</w:t>
      </w:r>
    </w:p>
    <w:p>
      <w:pPr>
        <w:pStyle w:val="ListBullet"/>
        <w:spacing w:after="36"/>
      </w:pPr>
      <w:r>
        <w:rPr>
          <w:color w:val="000000"/>
          <w:sz w:val="18"/>
        </w:rPr>
        <w:t>Ponderea publică scade gradual de la 30% la 23%, fără retragerea parteneriatului public.</w:t>
      </w:r>
    </w:p>
    <w:p>
      <w:pPr>
        <w:pStyle w:val="ListBullet"/>
        <w:spacing w:after="36"/>
      </w:pPr>
      <w:r>
        <w:rPr>
          <w:color w:val="000000"/>
          <w:sz w:val="18"/>
        </w:rPr>
        <w:t>Corporate + earned revenues cresc pe măsură ce festivalul demonstrează audiență, date și rezultate B2B.</w:t>
      </w:r>
    </w:p>
    <w:p>
      <w:pPr>
        <w:pStyle w:val="ListBullet"/>
        <w:spacing w:after="36"/>
      </w:pPr>
      <w:r>
        <w:rPr>
          <w:color w:val="000000"/>
          <w:sz w:val="18"/>
        </w:rPr>
        <w:t>Anul 5 include dezvoltarea unei structuri permanente, dar orice investiție imobiliară este un proiect separat.</w:t>
      </w:r>
    </w:p>
    <w:tbl>
      <w:tblPr>
        <w:tblW w:type="auto" w:w="0"/>
        <w:jc w:val="center"/>
        <w:tblLayout w:type="autofit"/>
        <w:tblLook w:firstColumn="1" w:firstRow="1" w:lastColumn="0" w:lastRow="0" w:noHBand="0" w:noVBand="1" w:val="04A0"/>
      </w:tblPr>
      <w:tblGrid>
        <w:gridCol w:w="10368"/>
      </w:tblGrid>
      <w:tr>
        <w:trPr>
          <w:cantSplit/>
        </w:trPr>
        <w:tc>
          <w:tcPr>
            <w:tcW w:type="dxa" w:w="10368"/>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vAlign w:val="center"/>
          </w:tcPr>
          <w:p>
            <w:pPr>
              <w:spacing w:after="40" w:before="20"/>
            </w:pPr>
            <w:r>
              <w:rPr>
                <w:rFonts w:ascii="Aptos" w:hAnsi="Aptos"/>
                <w:color w:val="000000"/>
                <w:sz w:val="16"/>
              </w:rPr>
            </w:r>
            <w:r>
              <w:rPr>
                <w:rFonts w:ascii="Aptos" w:hAnsi="Aptos"/>
                <w:b/>
                <w:color w:val="000000"/>
                <w:sz w:val="16"/>
              </w:rPr>
              <w:t>DISCIPLINĂ</w:t>
              <w:br/>
            </w:r>
            <w:r>
              <w:rPr>
                <w:rFonts w:ascii="Aptos" w:hAnsi="Aptos"/>
                <w:color w:val="000000"/>
                <w:sz w:val="16"/>
              </w:rPr>
              <w:t>Creșterea nu trebuie să fie automată. Fiecare majorare anuală de buget este condiționată de KPI: participare, retenție sponsori, country partners, B2B outcomes, reputație editorială și cash reserve.</w:t>
            </w:r>
          </w:p>
        </w:tc>
      </w:tr>
    </w:tbl>
    <w:p>
      <w:pPr>
        <w:spacing w:after="0"/>
      </w:pPr>
    </w:p>
    <w:p>
      <w:r>
        <w:rPr>
          <w:color w:val="000000"/>
        </w:rPr>
      </w:r>
    </w:p>
    <w:p>
      <w:pPr>
        <w:pStyle w:val="Kicker"/>
      </w:pPr>
      <w:r>
        <w:rPr>
          <w:color w:val="000000"/>
        </w:rPr>
        <w:t>TREI PIEȚE, TREI MESAJE</w:t>
      </w:r>
    </w:p>
    <w:p>
      <w:pPr>
        <w:pStyle w:val="Heading1"/>
        <w:keepNext/>
      </w:pPr>
      <w:r>
        <w:rPr>
          <w:color w:val="000000"/>
        </w:rPr>
        <w:t>22. Marketing, PR și media</w:t>
      </w:r>
    </w:p>
    <w:p>
      <w:pPr>
        <w:pStyle w:val="Argumentare"/>
        <w:keepNext/>
      </w:pPr>
      <w:r>
        <w:t>ARGUMENTARE STRATEGICĂ</w:t>
      </w:r>
    </w:p>
    <w:p>
      <w:pPr>
        <w:pStyle w:val="ArgumentBody"/>
      </w:pPr>
      <w:r>
        <w:t>Festivalul comunică simultan cu trei piețe care au motive diferite de interes. Pentru publicul român, promisiunea este o experiență culturală și turistică în Transilvania. Pentru industria europeană, este accesul curatorial și profesional la Asia Centrală. Pentru țările asiatice, este o platformă europeană de reprezentare și networking. O singură campanie generică ar dilua toate aceste promisiuni.</w:t>
      </w:r>
    </w:p>
    <w:p>
      <w:pPr>
        <w:pStyle w:val="Argumentare"/>
        <w:keepNext/>
      </w:pPr>
      <w:r>
        <w:t>PR CA INSTRUMENT DE REPUTAȚIE</w:t>
      </w:r>
    </w:p>
    <w:p>
      <w:pPr>
        <w:pStyle w:val="ArgumentBody"/>
      </w:pPr>
      <w:r>
        <w:t>În primul an, earned media poate fi mai important decât reach-ul plătit. Alegerea invitaților, exclusivitățile editoriale, accesul la povești și imaginile spectaculoase din oraș pot genera presă internațională dacă sunt pregătite din timp. Media Center-ul trebuie să furnizeze materiale, date și acces rapid, astfel încât jurnaliștii să nu depindă de informații fragmentate.</w:t>
      </w:r>
    </w:p>
    <w:p>
      <w:pPr>
        <w:pStyle w:val="Argumentare"/>
        <w:keepNext/>
      </w:pPr>
      <w:r>
        <w:t>CONȚINUT PROPRIU</w:t>
      </w:r>
    </w:p>
    <w:p>
      <w:pPr>
        <w:pStyle w:val="ArgumentBody"/>
      </w:pPr>
      <w:r>
        <w:t>GHFF Daily și GHFF TV creează active care rămân după cele 14 zile. Interviurile, masterclass-urile și recap-urile pot alimenta comunicarea pe tot parcursul anului și pot susține sponsorii între ediții. Arhiva trebuie produsă cu drepturi clare și standarde tehnice care permit reutilizarea.</w:t>
      </w:r>
    </w:p>
    <w:tbl>
      <w:tblPr>
        <w:tblStyle w:val="TableGrid"/>
        <w:tblW w:type="auto" w:w="0"/>
        <w:jc w:val="center"/>
        <w:tblLayout w:type="autofit"/>
        <w:tblLook w:firstColumn="1" w:firstRow="1" w:lastColumn="0" w:lastRow="0" w:noHBand="0" w:noVBand="1" w:val="04A0"/>
      </w:tblPr>
      <w:tblGrid>
        <w:gridCol w:w="3456"/>
        <w:gridCol w:w="3456"/>
        <w:gridCol w:w="3456"/>
      </w:tblGrid>
      <w:tr>
        <w:trPr>
          <w:cantSplit/>
          <w:tblHeader w:val="true"/>
        </w:trPr>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Piață</w:t>
            </w:r>
          </w:p>
        </w:tc>
        <w:tc>
          <w:tcPr>
            <w:tcW w:type="dxa" w:w="360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Mesaj</w:t>
            </w:r>
          </w:p>
        </w:tc>
        <w:tc>
          <w:tcPr>
            <w:tcW w:type="dxa" w:w="50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Canale</w:t>
            </w:r>
          </w:p>
        </w:tc>
      </w:tr>
      <w:tr>
        <w:trPr>
          <w:cantSplit/>
        </w:trPr>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România</w:t>
            </w:r>
          </w:p>
        </w:tc>
        <w:tc>
          <w:tcPr>
            <w:tcW w:type="dxa" w:w="360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Un festival internațional + experiență Transilvania</w:t>
            </w:r>
          </w:p>
        </w:tc>
        <w:tc>
          <w:tcPr>
            <w:tcW w:type="dxa" w:w="50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PR național, outdoor selectiv, creator content, ticketing, travel</w:t>
            </w:r>
          </w:p>
        </w:tc>
      </w:tr>
      <w:tr>
        <w:trPr>
          <w:cantSplit/>
        </w:trPr>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Europa</w:t>
            </w:r>
          </w:p>
        </w:tc>
        <w:tc>
          <w:tcPr>
            <w:tcW w:type="dxa" w:w="360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Industry gateway to Central Asia</w:t>
            </w:r>
          </w:p>
        </w:tc>
        <w:tc>
          <w:tcPr>
            <w:tcW w:type="dxa" w:w="50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Trade media, film schools, producers, festivals, newsletters</w:t>
            </w:r>
          </w:p>
        </w:tc>
      </w:tr>
      <w:tr>
        <w:trPr>
          <w:cantSplit/>
        </w:trPr>
        <w:tc>
          <w:tcPr>
            <w:tcW w:type="dxa" w:w="172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Asia Centrală</w:t>
            </w:r>
          </w:p>
        </w:tc>
        <w:tc>
          <w:tcPr>
            <w:tcW w:type="dxa" w:w="360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European platform hosted by Romania</w:t>
            </w:r>
          </w:p>
        </w:tc>
        <w:tc>
          <w:tcPr>
            <w:tcW w:type="dxa" w:w="50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Ambasade, institutes, media partners, film bodies, airlines, diaspora</w:t>
            </w:r>
          </w:p>
        </w:tc>
      </w:tr>
    </w:tbl>
    <w:p>
      <w:pPr>
        <w:spacing w:after="0"/>
      </w:pPr>
    </w:p>
    <w:p>
      <w:pPr>
        <w:pStyle w:val="Heading2"/>
        <w:keepNext/>
      </w:pPr>
      <w:r>
        <w:rPr>
          <w:color w:val="000000"/>
        </w:rPr>
        <w:t>Campanie în 4 faze</w:t>
      </w:r>
    </w:p>
    <w:p>
      <w:pPr>
        <w:pStyle w:val="ListBullet"/>
        <w:spacing w:after="36"/>
      </w:pPr>
      <w:r>
        <w:rPr>
          <w:color w:val="000000"/>
          <w:sz w:val="18"/>
        </w:rPr>
        <w:t>T–8 luni: brand launch + founding partners + save the date.</w:t>
      </w:r>
    </w:p>
    <w:p>
      <w:pPr>
        <w:pStyle w:val="ListBullet"/>
        <w:spacing w:after="36"/>
      </w:pPr>
      <w:r>
        <w:rPr>
          <w:color w:val="000000"/>
          <w:sz w:val="18"/>
        </w:rPr>
        <w:t>T–5 luni: countries + first titles + industry open calls.</w:t>
      </w:r>
    </w:p>
    <w:p>
      <w:pPr>
        <w:pStyle w:val="ListBullet"/>
        <w:spacing w:after="36"/>
      </w:pPr>
      <w:r>
        <w:rPr>
          <w:color w:val="000000"/>
          <w:sz w:val="18"/>
        </w:rPr>
        <w:t>T–2 luni: full program + tickets + talent + tourism packages.</w:t>
      </w:r>
    </w:p>
    <w:p>
      <w:pPr>
        <w:pStyle w:val="ListBullet"/>
        <w:spacing w:after="36"/>
      </w:pPr>
      <w:r>
        <w:rPr>
          <w:color w:val="000000"/>
          <w:sz w:val="18"/>
        </w:rPr>
        <w:t>Festival: daily newsroom + short-form video + live moments + earned media.</w:t>
      </w:r>
    </w:p>
    <w:p>
      <w:pPr>
        <w:pStyle w:val="Heading2"/>
        <w:keepNext/>
      </w:pPr>
      <w:r>
        <w:rPr>
          <w:color w:val="000000"/>
        </w:rPr>
        <w:t>Owned media</w:t>
      </w:r>
    </w:p>
    <w:p>
      <w:pPr>
        <w:pStyle w:val="ListBullet"/>
        <w:spacing w:after="36"/>
      </w:pPr>
      <w:r>
        <w:rPr>
          <w:color w:val="000000"/>
          <w:sz w:val="18"/>
        </w:rPr>
        <w:t>GHFF Daily – newsletter / digital magazine</w:t>
      </w:r>
    </w:p>
    <w:p>
      <w:pPr>
        <w:pStyle w:val="ListBullet"/>
        <w:spacing w:after="36"/>
      </w:pPr>
      <w:r>
        <w:rPr>
          <w:color w:val="000000"/>
          <w:sz w:val="18"/>
        </w:rPr>
        <w:t>GHFF TV – live / interviews / recaps</w:t>
      </w:r>
    </w:p>
    <w:p>
      <w:pPr>
        <w:pStyle w:val="ListBullet"/>
        <w:spacing w:after="36"/>
      </w:pPr>
      <w:r>
        <w:rPr>
          <w:color w:val="000000"/>
          <w:sz w:val="18"/>
        </w:rPr>
        <w:t>Podcast / interview room</w:t>
      </w:r>
    </w:p>
    <w:p>
      <w:pPr>
        <w:pStyle w:val="ListBullet"/>
        <w:spacing w:after="36"/>
      </w:pPr>
      <w:r>
        <w:rPr>
          <w:color w:val="000000"/>
          <w:sz w:val="18"/>
        </w:rPr>
        <w:t>Press photo + EPK library</w:t>
      </w:r>
    </w:p>
    <w:p>
      <w:pPr>
        <w:pStyle w:val="ListBullet"/>
        <w:spacing w:after="36"/>
      </w:pPr>
      <w:r>
        <w:rPr>
          <w:color w:val="000000"/>
          <w:sz w:val="18"/>
        </w:rPr>
        <w:t>Post-festival Impact Report</w:t>
      </w:r>
    </w:p>
    <w:tbl>
      <w:tblPr>
        <w:tblW w:type="auto" w:w="0"/>
        <w:jc w:val="center"/>
        <w:tblLayout w:type="autofit"/>
        <w:tblLook w:firstColumn="1" w:firstRow="1" w:lastColumn="0" w:lastRow="0" w:noHBand="0" w:noVBand="1" w:val="04A0"/>
      </w:tblPr>
      <w:tblGrid>
        <w:gridCol w:w="10368"/>
      </w:tblGrid>
      <w:tr>
        <w:trPr>
          <w:cantSplit/>
        </w:trPr>
        <w:tc>
          <w:tcPr>
            <w:tcW w:type="dxa" w:w="10368"/>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vAlign w:val="center"/>
          </w:tcPr>
          <w:p>
            <w:pPr>
              <w:spacing w:after="40" w:before="20"/>
            </w:pPr>
            <w:r>
              <w:rPr>
                <w:rFonts w:ascii="Aptos" w:hAnsi="Aptos"/>
                <w:color w:val="000000"/>
                <w:sz w:val="16"/>
              </w:rPr>
            </w:r>
            <w:r>
              <w:rPr>
                <w:rFonts w:ascii="Aptos" w:hAnsi="Aptos"/>
                <w:b/>
                <w:color w:val="000000"/>
                <w:sz w:val="16"/>
              </w:rPr>
              <w:t>CREATIVE IDEA</w:t>
              <w:br/>
            </w:r>
            <w:r>
              <w:rPr>
                <w:rFonts w:ascii="Aptos" w:hAnsi="Aptos"/>
                <w:color w:val="000000"/>
                <w:sz w:val="16"/>
              </w:rPr>
              <w:t>O peliculă cinematografică devine Drumul Mătăsii, traversează stepă, munți și orașe, apoi ajunge la Turnul cu Ceas. Mesaj: FOLLOW THE SILK ROAD TO SIGHIȘOARA.</w:t>
            </w:r>
          </w:p>
        </w:tc>
      </w:tr>
    </w:tbl>
    <w:p>
      <w:pPr>
        <w:spacing w:after="0"/>
      </w:pPr>
    </w:p>
    <w:p>
      <w:r>
        <w:rPr>
          <w:color w:val="000000"/>
        </w:rPr>
      </w:r>
    </w:p>
    <w:p>
      <w:pPr>
        <w:pStyle w:val="Kicker"/>
      </w:pPr>
      <w:r>
        <w:rPr>
          <w:color w:val="000000"/>
        </w:rPr>
        <w:t>UN SINGUR CONT PENTRU ÎNTREAGA EXPERIENȚĂ</w:t>
      </w:r>
    </w:p>
    <w:p>
      <w:pPr>
        <w:pStyle w:val="Heading1"/>
        <w:keepNext/>
      </w:pPr>
      <w:r>
        <w:rPr>
          <w:color w:val="000000"/>
        </w:rPr>
        <w:t>23. Platformă digitală, date și matchmaking</w:t>
      </w:r>
    </w:p>
    <w:p>
      <w:pPr>
        <w:pStyle w:val="Argumentare"/>
        <w:keepNext/>
      </w:pPr>
      <w:r>
        <w:t>ARGUMENTARE STRATEGICĂ</w:t>
      </w:r>
    </w:p>
    <w:p>
      <w:pPr>
        <w:pStyle w:val="ArgumentBody"/>
      </w:pPr>
      <w:r>
        <w:t>Platforma digitală trebuie să reducă fricțiunea, nu să devină proiect tehnologic în sine. În ediția 1, cele mai importante funcții sunt programul personal, ticketing-ul, acreditarea și matchmaking-ul. Dezvoltarea unei aplicații proprietare complexe fără volum de utilizatori sau echipă de mentenanță ar consuma resurse care pot fi investite direct în experiența festivalului.</w:t>
      </w:r>
    </w:p>
    <w:p>
      <w:pPr>
        <w:pStyle w:val="Argumentare"/>
        <w:keepNext/>
      </w:pPr>
      <w:r>
        <w:t>DATE CA INFRASTRUCTURĂ</w:t>
      </w:r>
    </w:p>
    <w:p>
      <w:pPr>
        <w:pStyle w:val="ArgumentBody"/>
      </w:pPr>
      <w:r>
        <w:t>Un cont unificat permite organizatorului să înțeleagă traseul participantului: ce rezervă, unde intră, ce întâlniri solicită și ce tip de conținut preferă. Aceste date pot îmbunătăți programarea viitoare și pot demonstra valoare sponsorilor, dar numai în formă agregată și cu consimțământ adecvat.</w:t>
      </w:r>
    </w:p>
    <w:p>
      <w:pPr>
        <w:pStyle w:val="Argumentare"/>
        <w:keepNext/>
      </w:pPr>
      <w:r>
        <w:t>MATCHMAKING</w:t>
      </w:r>
    </w:p>
    <w:p>
      <w:pPr>
        <w:pStyle w:val="ArgumentBody"/>
      </w:pPr>
      <w:r>
        <w:t>Motorul de recomandare nu trebuie să fie neapărat AI. În prima fază, criterii bine definite – industrie, teritoriu, obiectiv, stadiu de proiect, dimensiunea companiei – pot produce potriviri mai transparente. Calitatea profilurilor și curatoria întâlnirilor sunt mai importante decât sofisticarea algoritmului.</w:t>
      </w:r>
    </w:p>
    <w:tbl>
      <w:tblPr>
        <w:tblStyle w:val="TableGrid"/>
        <w:tblW w:type="auto" w:w="0"/>
        <w:jc w:val="center"/>
        <w:tblLayout w:type="autofit"/>
        <w:tblLook w:firstColumn="1" w:firstRow="1" w:lastColumn="0" w:lastRow="0" w:noHBand="0" w:noVBand="1" w:val="04A0"/>
      </w:tblPr>
      <w:tblGrid>
        <w:gridCol w:w="5184"/>
        <w:gridCol w:w="5184"/>
      </w:tblGrid>
      <w:tr>
        <w:trPr>
          <w:cantSplit/>
          <w:tblHeader w:val="true"/>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Modul</w:t>
            </w:r>
          </w:p>
        </w:tc>
        <w:tc>
          <w:tcPr>
            <w:tcW w:type="dxa" w:w="691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Funcție</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Program</w:t>
            </w:r>
          </w:p>
        </w:tc>
        <w:tc>
          <w:tcPr>
            <w:tcW w:type="dxa" w:w="691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Filme, talks, business, filtre, favorite</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Ticketing</w:t>
            </w:r>
          </w:p>
        </w:tc>
        <w:tc>
          <w:tcPr>
            <w:tcW w:type="dxa" w:w="691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Bilete / passes / wallet</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Accreditation</w:t>
            </w:r>
          </w:p>
        </w:tc>
        <w:tc>
          <w:tcPr>
            <w:tcW w:type="dxa" w:w="691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QR access, categorii, badge print</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Matchmaking</w:t>
            </w:r>
          </w:p>
        </w:tc>
        <w:tc>
          <w:tcPr>
            <w:tcW w:type="dxa" w:w="691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Profil, interese, suggestions, meeting slots</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Guest itinerary</w:t>
            </w:r>
          </w:p>
        </w:tc>
        <w:tc>
          <w:tcPr>
            <w:tcW w:type="dxa" w:w="691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Travel, hotel, transport, invitations</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Map</w:t>
            </w:r>
          </w:p>
        </w:tc>
        <w:tc>
          <w:tcPr>
            <w:tcW w:type="dxa" w:w="691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Festival campus și wayfinding</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Notifications</w:t>
            </w:r>
          </w:p>
        </w:tc>
        <w:tc>
          <w:tcPr>
            <w:tcW w:type="dxa" w:w="691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Room changes, reminders, urgent alerts</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CRM / analytics</w:t>
            </w:r>
          </w:p>
        </w:tc>
        <w:tc>
          <w:tcPr>
            <w:tcW w:type="dxa" w:w="691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Consent, attendance, sponsor reporting, retention</w:t>
            </w:r>
          </w:p>
        </w:tc>
      </w:tr>
    </w:tbl>
    <w:p>
      <w:pPr>
        <w:spacing w:after="0"/>
      </w:pPr>
    </w:p>
    <w:p>
      <w:r>
        <w:rPr>
          <w:color w:val="000000"/>
        </w:rPr>
        <w:t>Ediția 1 poate utiliza un stack modular și servicii existente, fără a dezvolta o aplicație complexă de la zero. Cerința critică este integrarea datelor și experiența mobilă, nu proprietatea asupra fiecărei componente software.</w:t>
      </w:r>
    </w:p>
    <w:p>
      <w:pPr>
        <w:pStyle w:val="Heading2"/>
        <w:keepNext/>
      </w:pPr>
      <w:r>
        <w:rPr>
          <w:color w:val="000000"/>
        </w:rPr>
        <w:t>Data governance</w:t>
      </w:r>
    </w:p>
    <w:p>
      <w:pPr>
        <w:pStyle w:val="ListBullet"/>
        <w:spacing w:after="36"/>
      </w:pPr>
      <w:r>
        <w:rPr>
          <w:color w:val="000000"/>
          <w:sz w:val="18"/>
        </w:rPr>
        <w:t>Colectare minimă și transparentă; consent granular pentru marketing și B2B.</w:t>
      </w:r>
    </w:p>
    <w:p>
      <w:pPr>
        <w:pStyle w:val="ListBullet"/>
        <w:spacing w:after="36"/>
      </w:pPr>
      <w:r>
        <w:rPr>
          <w:color w:val="000000"/>
          <w:sz w:val="18"/>
        </w:rPr>
        <w:t>Sponsorii primesc insight-uri agregate; date nominale doar unde participantul a consimțit.</w:t>
      </w:r>
    </w:p>
    <w:p>
      <w:pPr>
        <w:pStyle w:val="ListBullet"/>
        <w:spacing w:after="36"/>
      </w:pPr>
      <w:r>
        <w:rPr>
          <w:color w:val="000000"/>
          <w:sz w:val="18"/>
        </w:rPr>
        <w:t>Roluri de acces și audit trail pentru staff.</w:t>
      </w:r>
    </w:p>
    <w:p>
      <w:pPr>
        <w:pStyle w:val="ListBullet"/>
        <w:spacing w:after="36"/>
      </w:pPr>
      <w:r>
        <w:rPr>
          <w:color w:val="000000"/>
          <w:sz w:val="18"/>
        </w:rPr>
        <w:t>Politică de retenție și ștergere; proces pentru data subject requests.</w:t>
      </w:r>
    </w:p>
    <w:p>
      <w:r>
        <w:rPr>
          <w:color w:val="000000"/>
        </w:rPr>
      </w:r>
    </w:p>
    <w:p>
      <w:pPr>
        <w:pStyle w:val="Kicker"/>
      </w:pPr>
      <w:r>
        <w:rPr>
          <w:color w:val="000000"/>
        </w:rPr>
        <w:t>EVENIMENT COMPATIBIL CU ORAȘUL</w:t>
      </w:r>
    </w:p>
    <w:p>
      <w:pPr>
        <w:pStyle w:val="Heading1"/>
        <w:keepNext/>
      </w:pPr>
      <w:r>
        <w:rPr>
          <w:color w:val="000000"/>
        </w:rPr>
        <w:t>24. Sustenabilitate, accesibilitate și patrimoniu</w:t>
      </w:r>
    </w:p>
    <w:p>
      <w:pPr>
        <w:pStyle w:val="Argumentare"/>
        <w:keepNext/>
      </w:pPr>
      <w:r>
        <w:t>ARGUMENTARE STRATEGICĂ</w:t>
      </w:r>
    </w:p>
    <w:p>
      <w:pPr>
        <w:pStyle w:val="ArgumentBody"/>
      </w:pPr>
      <w:r>
        <w:t>Sustenabilitatea și accesibilitatea nu trebuie tratate ca anexe de comunicare. Într-un sit istoric, modul în care se face load-in-ul, se gestionează publicul, se amplifică sunetul și se montează semnalistica are consecințe directe asupra patrimoniului și asupra relației cu rezidenții. Festivalul trebuie să demonstreze că poate aduce vizibilitate fără a consuma calitatea locului care îi oferă identitate.</w:t>
      </w:r>
    </w:p>
    <w:p>
      <w:pPr>
        <w:pStyle w:val="Argumentare"/>
        <w:keepNext/>
      </w:pPr>
      <w:r>
        <w:t>ACCESIBILITATE REALISTĂ</w:t>
      </w:r>
    </w:p>
    <w:p>
      <w:pPr>
        <w:pStyle w:val="ArgumentBody"/>
      </w:pPr>
      <w:r>
        <w:t>Patrimoniul medieval poate limita accesul fizic în anumite zone. Promisiunile absolute ar fi necredibile. Abordarea corectă este auditul fiecărei locații, publicarea limitărilor, oferirea de alternative și instruirea echipei. Accesibilitatea informațională – subtitrări, website, contrast, semnalistică, personal de suport – poate fi îmbunătățită chiar atunci când infrastructura istorică nu poate fi modificată.</w:t>
      </w:r>
    </w:p>
    <w:p>
      <w:pPr>
        <w:pStyle w:val="Argumentare"/>
        <w:keepNext/>
      </w:pPr>
      <w:r>
        <w:t>LICENȚĂ SOCIALĂ</w:t>
      </w:r>
    </w:p>
    <w:p>
      <w:pPr>
        <w:pStyle w:val="ArgumentBody"/>
      </w:pPr>
      <w:r>
        <w:t>Rezidenții trebuie informați și implicați înainte de festival. Beneficiile locale – voluntariat, procurement, programe gratuite, acces pentru școli – trebuie să fie vizibile. Un eveniment de două săptămâni poate genera tensiune prin zgomot, trafic și ocuparea spațiului public; transparența și mecanismul de feedback sunt esențiale pentru continuitatea anuală.</w:t>
      </w:r>
    </w:p>
    <w:p>
      <w:pPr>
        <w:pStyle w:val="Heading2"/>
        <w:keepNext/>
      </w:pPr>
      <w:r>
        <w:rPr>
          <w:color w:val="000000"/>
        </w:rPr>
        <w:t>Patrimoniu</w:t>
      </w:r>
    </w:p>
    <w:p>
      <w:pPr>
        <w:pStyle w:val="ListBullet"/>
        <w:spacing w:after="36"/>
      </w:pPr>
      <w:r>
        <w:rPr>
          <w:color w:val="000000"/>
          <w:sz w:val="18"/>
        </w:rPr>
        <w:t>Fără fixări / intervenții asupra clădirilor și pavajelor fără avize.</w:t>
      </w:r>
    </w:p>
    <w:p>
      <w:pPr>
        <w:pStyle w:val="ListBullet"/>
        <w:spacing w:after="36"/>
      </w:pPr>
      <w:r>
        <w:rPr>
          <w:color w:val="000000"/>
          <w:sz w:val="18"/>
        </w:rPr>
        <w:t>Load-in / load-out și crowd routes proiectate pentru Cetate.</w:t>
      </w:r>
    </w:p>
    <w:p>
      <w:pPr>
        <w:pStyle w:val="ListBullet"/>
        <w:spacing w:after="36"/>
      </w:pPr>
      <w:r>
        <w:rPr>
          <w:color w:val="000000"/>
          <w:sz w:val="18"/>
        </w:rPr>
        <w:t>Niveluri de sunet și ore de funcționare negociate cu autoritățile și vecinătățile.</w:t>
      </w:r>
    </w:p>
    <w:p>
      <w:pPr>
        <w:pStyle w:val="Heading2"/>
        <w:keepNext/>
      </w:pPr>
      <w:r>
        <w:rPr>
          <w:color w:val="000000"/>
        </w:rPr>
        <w:t>Mediu</w:t>
      </w:r>
    </w:p>
    <w:p>
      <w:pPr>
        <w:pStyle w:val="ListBullet"/>
        <w:spacing w:after="36"/>
      </w:pPr>
      <w:r>
        <w:rPr>
          <w:color w:val="000000"/>
          <w:sz w:val="18"/>
        </w:rPr>
        <w:t>Refill water, waste separation, reusable credentials / cups unde este practic.</w:t>
      </w:r>
    </w:p>
    <w:p>
      <w:pPr>
        <w:pStyle w:val="ListBullet"/>
        <w:spacing w:after="36"/>
      </w:pPr>
      <w:r>
        <w:rPr>
          <w:color w:val="000000"/>
          <w:sz w:val="18"/>
        </w:rPr>
        <w:t>Transport colectiv pentru delegații; shuttle pooling.</w:t>
      </w:r>
    </w:p>
    <w:p>
      <w:pPr>
        <w:pStyle w:val="ListBullet"/>
        <w:spacing w:after="36"/>
      </w:pPr>
      <w:r>
        <w:rPr>
          <w:color w:val="000000"/>
          <w:sz w:val="18"/>
        </w:rPr>
        <w:t>Măsurarea materialelor temporare și reutilizarea signage-ului.</w:t>
      </w:r>
    </w:p>
    <w:p>
      <w:pPr>
        <w:pStyle w:val="Heading2"/>
        <w:keepNext/>
      </w:pPr>
      <w:r>
        <w:rPr>
          <w:color w:val="000000"/>
        </w:rPr>
        <w:t>Accesibilitate</w:t>
      </w:r>
    </w:p>
    <w:p>
      <w:pPr>
        <w:pStyle w:val="ListBullet"/>
        <w:spacing w:after="36"/>
      </w:pPr>
      <w:r>
        <w:rPr>
          <w:color w:val="000000"/>
          <w:sz w:val="18"/>
        </w:rPr>
        <w:t>Audit de acces pe fiecare venue și publicarea limitărilor reale.</w:t>
      </w:r>
    </w:p>
    <w:p>
      <w:pPr>
        <w:pStyle w:val="ListBullet"/>
        <w:spacing w:after="36"/>
      </w:pPr>
      <w:r>
        <w:rPr>
          <w:color w:val="000000"/>
          <w:sz w:val="18"/>
        </w:rPr>
        <w:t>Locuri rezervate, trasee, personal de suport și informație online.</w:t>
      </w:r>
    </w:p>
    <w:p>
      <w:pPr>
        <w:pStyle w:val="ListBullet"/>
        <w:spacing w:after="36"/>
      </w:pPr>
      <w:r>
        <w:rPr>
          <w:color w:val="000000"/>
          <w:sz w:val="18"/>
        </w:rPr>
        <w:t>Subtitrări și, unde este posibil, soluții audio / caption pentru evenimente-cheie.</w:t>
      </w:r>
    </w:p>
    <w:p>
      <w:pPr>
        <w:pStyle w:val="Heading2"/>
        <w:keepNext/>
      </w:pPr>
      <w:r>
        <w:rPr>
          <w:color w:val="000000"/>
        </w:rPr>
        <w:t>Comunitate</w:t>
      </w:r>
    </w:p>
    <w:p>
      <w:pPr>
        <w:pStyle w:val="ListBullet"/>
        <w:spacing w:after="36"/>
      </w:pPr>
      <w:r>
        <w:rPr>
          <w:color w:val="000000"/>
          <w:sz w:val="18"/>
        </w:rPr>
        <w:t>Rezidenți informați din timp; hotline operațional.</w:t>
      </w:r>
    </w:p>
    <w:p>
      <w:pPr>
        <w:pStyle w:val="ListBullet"/>
        <w:spacing w:after="36"/>
      </w:pPr>
      <w:r>
        <w:rPr>
          <w:color w:val="000000"/>
          <w:sz w:val="18"/>
        </w:rPr>
        <w:t>Voluntariat și beneficii locale.</w:t>
      </w:r>
    </w:p>
    <w:p>
      <w:pPr>
        <w:pStyle w:val="ListBullet"/>
        <w:spacing w:after="36"/>
      </w:pPr>
      <w:r>
        <w:rPr>
          <w:color w:val="000000"/>
          <w:sz w:val="18"/>
        </w:rPr>
        <w:t>Procurement local unde raportul calitate/preț o permite.</w:t>
      </w:r>
    </w:p>
    <w:tbl>
      <w:tblPr>
        <w:tblW w:type="auto" w:w="0"/>
        <w:jc w:val="center"/>
        <w:tblLayout w:type="autofit"/>
        <w:tblLook w:firstColumn="1" w:firstRow="1" w:lastColumn="0" w:lastRow="0" w:noHBand="0" w:noVBand="1" w:val="04A0"/>
      </w:tblPr>
      <w:tblGrid>
        <w:gridCol w:w="10368"/>
      </w:tblGrid>
      <w:tr>
        <w:trPr>
          <w:cantSplit/>
        </w:trPr>
        <w:tc>
          <w:tcPr>
            <w:tcW w:type="dxa" w:w="10368"/>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vAlign w:val="center"/>
          </w:tcPr>
          <w:p>
            <w:pPr>
              <w:spacing w:after="40" w:before="20"/>
            </w:pPr>
            <w:r>
              <w:rPr>
                <w:rFonts w:ascii="Aptos" w:hAnsi="Aptos"/>
                <w:color w:val="000000"/>
                <w:sz w:val="16"/>
              </w:rPr>
            </w:r>
            <w:r>
              <w:rPr>
                <w:rFonts w:ascii="Aptos" w:hAnsi="Aptos"/>
                <w:b/>
                <w:color w:val="000000"/>
                <w:sz w:val="16"/>
              </w:rPr>
              <w:t>LICENȚĂ SOCIALĂ</w:t>
              <w:br/>
            </w:r>
            <w:r>
              <w:rPr>
                <w:rFonts w:ascii="Aptos" w:hAnsi="Aptos"/>
                <w:color w:val="000000"/>
                <w:sz w:val="16"/>
              </w:rPr>
              <w:t>Festivalul trebuie să fie perceput de comunitate ca un activ al orașului, nu ca o ocupare temporară a Cetății. Consultarea locală și comunicarea operațională sunt parte din produs.</w:t>
            </w:r>
          </w:p>
        </w:tc>
      </w:tr>
    </w:tbl>
    <w:p>
      <w:pPr>
        <w:spacing w:after="0"/>
      </w:pPr>
    </w:p>
    <w:p>
      <w:r>
        <w:rPr>
          <w:color w:val="000000"/>
        </w:rPr>
      </w:r>
    </w:p>
    <w:p>
      <w:pPr>
        <w:pStyle w:val="Kicker"/>
      </w:pPr>
      <w:r>
        <w:rPr>
          <w:color w:val="000000"/>
        </w:rPr>
        <w:t>RISCURI CONTROLABILE PRIN DESIGN</w:t>
      </w:r>
    </w:p>
    <w:p>
      <w:pPr>
        <w:pStyle w:val="Heading1"/>
        <w:keepNext/>
      </w:pPr>
      <w:r>
        <w:rPr>
          <w:color w:val="000000"/>
        </w:rPr>
        <w:t>25. Risk register și plan de continuitate</w:t>
      </w:r>
    </w:p>
    <w:p>
      <w:pPr>
        <w:pStyle w:val="Argumentare"/>
        <w:keepNext/>
      </w:pPr>
      <w:r>
        <w:t>ARGUMENTARE STRATEGICĂ</w:t>
      </w:r>
    </w:p>
    <w:p>
      <w:pPr>
        <w:pStyle w:val="ArgumentBody"/>
      </w:pPr>
      <w:r>
        <w:t>Un risk register formal schimbă cultura organizației de la reacție la prevenție. Riscurile financiare, meteo, tehnice, reputaționale, geopolitice și de securitate trebuie evaluate prin probabilitate și impact, cu responsabil desemnat și termen de mitigare. Lista nu este statică; trebuie revizuită lunar, apoi săptămânal în apropierea festivalului.</w:t>
      </w:r>
    </w:p>
    <w:p>
      <w:pPr>
        <w:pStyle w:val="Argumentare"/>
        <w:keepNext/>
      </w:pPr>
      <w:r>
        <w:t>SCENARII, NU DOAR RISCURI</w:t>
      </w:r>
    </w:p>
    <w:p>
      <w:pPr>
        <w:pStyle w:val="ArgumentBody"/>
      </w:pPr>
      <w:r>
        <w:t>Pentru riscurile cu impact mare trebuie pregătite scenarii de acțiune: ce se întâmplă dacă o delegație se retrage, o locație devine indisponibilă, un sponsor renunță, vremea anulează outdoor-ul sau apare o controversă publică. O organizație matură nu încearcă să prevadă fiecare incident, ci pregătește structura de decizie și alternativele.</w:t>
      </w:r>
    </w:p>
    <w:p>
      <w:pPr>
        <w:pStyle w:val="Argumentare"/>
        <w:keepNext/>
      </w:pPr>
      <w:r>
        <w:t>COMUNICARE DE CRIZĂ</w:t>
      </w:r>
    </w:p>
    <w:p>
      <w:pPr>
        <w:pStyle w:val="ArgumentBody"/>
      </w:pPr>
      <w:r>
        <w:t>Crisis Cell-ul trebuie să aibă un singur purtător de mesaj, flux de aprobare rapid și log al deciziilor. În situații sensibile, viteza fără verificare poate amplifica problema, iar tăcerea prelungită lasă spațiu speculațiilor. Procedura trebuie exersată înaintea festivalului prin simulări.</w:t>
      </w:r>
    </w:p>
    <w:tbl>
      <w:tblPr>
        <w:tblStyle w:val="TableGrid"/>
        <w:tblW w:type="auto" w:w="0"/>
        <w:jc w:val="center"/>
        <w:tblLayout w:type="autofit"/>
        <w:tblLook w:firstColumn="1" w:firstRow="1" w:lastColumn="0" w:lastRow="0" w:noHBand="0" w:noVBand="1" w:val="04A0"/>
      </w:tblPr>
      <w:tblGrid>
        <w:gridCol w:w="3456"/>
        <w:gridCol w:w="3456"/>
        <w:gridCol w:w="3456"/>
      </w:tblGrid>
      <w:tr>
        <w:trPr>
          <w:cantSplit/>
          <w:tblHeader w:val="true"/>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Risc</w:t>
            </w:r>
          </w:p>
        </w:tc>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Impact</w:t>
            </w:r>
          </w:p>
        </w:tc>
        <w:tc>
          <w:tcPr>
            <w:tcW w:type="dxa" w:w="57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Măsură principală</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Finanțare incompletă</w:t>
            </w:r>
          </w:p>
        </w:tc>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Mare</w:t>
            </w:r>
          </w:p>
        </w:tc>
        <w:tc>
          <w:tcPr>
            <w:tcW w:type="dxa" w:w="57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Praguri de contractare; module scalabile; no-go la T–120</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Vreme / outdoor</w:t>
            </w:r>
          </w:p>
        </w:tc>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Mare</w:t>
            </w:r>
          </w:p>
        </w:tc>
        <w:tc>
          <w:tcPr>
            <w:tcW w:type="dxa" w:w="57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Indoor fallback, weather insurance analizată, decizie 24–48h</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Disponibilitate locații</w:t>
            </w:r>
          </w:p>
        </w:tc>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Mare</w:t>
            </w:r>
          </w:p>
        </w:tc>
        <w:tc>
          <w:tcPr>
            <w:tcW w:type="dxa" w:w="57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Hold timpuriu; venue B; audit T–10</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Drepturi / livrare filme</w:t>
            </w:r>
          </w:p>
        </w:tc>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Mediu</w:t>
            </w:r>
          </w:p>
        </w:tc>
        <w:tc>
          <w:tcPr>
            <w:tcW w:type="dxa" w:w="57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Contract + delivery deadline + backup title</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Travel / vize</w:t>
            </w:r>
          </w:p>
        </w:tc>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Mare</w:t>
            </w:r>
          </w:p>
        </w:tc>
        <w:tc>
          <w:tcPr>
            <w:tcW w:type="dxa" w:w="57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Invitații timpurii; visa support; hybrid fallback selectiv</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Sensibilități geopolitice</w:t>
            </w:r>
          </w:p>
        </w:tc>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Mare</w:t>
            </w:r>
          </w:p>
        </w:tc>
        <w:tc>
          <w:tcPr>
            <w:tcW w:type="dxa" w:w="57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Policy editorială; due diligence; protocol de criză</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Crowd / securitate</w:t>
            </w:r>
          </w:p>
        </w:tc>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Mare</w:t>
            </w:r>
          </w:p>
        </w:tc>
        <w:tc>
          <w:tcPr>
            <w:tcW w:type="dxa" w:w="57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Plan autorități, capacities, accreditation, incident command</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Cyber / date</w:t>
            </w:r>
          </w:p>
        </w:tc>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Mediu</w:t>
            </w:r>
          </w:p>
        </w:tc>
        <w:tc>
          <w:tcPr>
            <w:tcW w:type="dxa" w:w="57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Vendor due diligence, MFA, backups, least privilege</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Reputație / sponsor conflict</w:t>
            </w:r>
          </w:p>
        </w:tc>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Mediu</w:t>
            </w:r>
          </w:p>
        </w:tc>
        <w:tc>
          <w:tcPr>
            <w:tcW w:type="dxa" w:w="57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Ethics screen și separarea comercial-editorial</w:t>
            </w:r>
          </w:p>
        </w:tc>
      </w:tr>
      <w:tr>
        <w:trPr>
          <w:cantSplit/>
        </w:trPr>
        <w:tc>
          <w:tcPr>
            <w:tcW w:type="dxa" w:w="288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Cash-flow</w:t>
            </w:r>
          </w:p>
        </w:tc>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Mare</w:t>
            </w:r>
          </w:p>
        </w:tc>
        <w:tc>
          <w:tcPr>
            <w:tcW w:type="dxa" w:w="576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Forecast săptămânal în ultimele 90 zile, reserve</w:t>
            </w:r>
          </w:p>
        </w:tc>
      </w:tr>
    </w:tbl>
    <w:p>
      <w:pPr>
        <w:spacing w:after="0"/>
      </w:pPr>
    </w:p>
    <w:tbl>
      <w:tblPr>
        <w:tblW w:type="auto" w:w="0"/>
        <w:jc w:val="center"/>
        <w:tblLayout w:type="autofit"/>
        <w:tblLook w:firstColumn="1" w:firstRow="1" w:lastColumn="0" w:lastRow="0" w:noHBand="0" w:noVBand="1" w:val="04A0"/>
      </w:tblPr>
      <w:tblGrid>
        <w:gridCol w:w="10368"/>
      </w:tblGrid>
      <w:tr>
        <w:trPr>
          <w:cantSplit/>
        </w:trPr>
        <w:tc>
          <w:tcPr>
            <w:tcW w:type="dxa" w:w="10368"/>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vAlign w:val="center"/>
          </w:tcPr>
          <w:p>
            <w:pPr>
              <w:spacing w:after="40" w:before="20"/>
            </w:pPr>
            <w:r>
              <w:rPr>
                <w:rFonts w:ascii="Aptos" w:hAnsi="Aptos"/>
                <w:color w:val="000000"/>
                <w:sz w:val="16"/>
              </w:rPr>
            </w:r>
            <w:r>
              <w:rPr>
                <w:rFonts w:ascii="Aptos" w:hAnsi="Aptos"/>
                <w:b/>
                <w:color w:val="000000"/>
                <w:sz w:val="16"/>
              </w:rPr>
              <w:t>CRISIS CELL</w:t>
              <w:br/>
            </w:r>
            <w:r>
              <w:rPr>
                <w:rFonts w:ascii="Aptos" w:hAnsi="Aptos"/>
                <w:color w:val="000000"/>
                <w:sz w:val="16"/>
              </w:rPr>
              <w:t>Festival Director + Operations + Legal + Communications + Security decid într-un singur flux. Există mesaje pre-aprobate pentru anulări, vreme, incidente, schimbări de program și probleme de transport.</w:t>
            </w:r>
          </w:p>
        </w:tc>
      </w:tr>
    </w:tbl>
    <w:p>
      <w:pPr>
        <w:spacing w:after="0"/>
      </w:pPr>
    </w:p>
    <w:p>
      <w:r>
        <w:rPr>
          <w:color w:val="000000"/>
        </w:rPr>
      </w:r>
    </w:p>
    <w:p>
      <w:pPr>
        <w:pStyle w:val="Kicker"/>
      </w:pPr>
      <w:r>
        <w:rPr>
          <w:color w:val="000000"/>
        </w:rPr>
        <w:t>CE DEMONSTRĂM DUPĂ EDIȚIA 1</w:t>
      </w:r>
    </w:p>
    <w:p>
      <w:pPr>
        <w:pStyle w:val="Heading1"/>
        <w:keepNext/>
      </w:pPr>
      <w:r>
        <w:rPr>
          <w:color w:val="000000"/>
        </w:rPr>
        <w:t>26. KPI, impact și raportare</w:t>
      </w:r>
    </w:p>
    <w:p>
      <w:pPr>
        <w:pStyle w:val="Argumentare"/>
        <w:keepNext/>
      </w:pPr>
      <w:r>
        <w:t>ARGUMENTARE STRATEGICĂ</w:t>
      </w:r>
    </w:p>
    <w:p>
      <w:pPr>
        <w:pStyle w:val="ArgumentBody"/>
      </w:pPr>
      <w:r>
        <w:t>KPI-urile sunt mecanismul prin care proiectul își dovedește legitimitatea în fața unor parteneri cu obiective diferite. Autoritatea locală va urmări turismul și impactul comunitar, finanțatorul cultural va urmări programul și accesul, sponsorul va urmări audiența și engagement-ul, iar industria va urmări proiectele și întâlnirile. Raportarea trebuie să păstreze aceste perspective distincte.</w:t>
      </w:r>
    </w:p>
    <w:p>
      <w:pPr>
        <w:pStyle w:val="Argumentare"/>
        <w:keepNext/>
      </w:pPr>
      <w:r>
        <w:t>IMPACT ECONOMIC CREDIBIL</w:t>
      </w:r>
    </w:p>
    <w:p>
      <w:pPr>
        <w:pStyle w:val="ArgumentBody"/>
      </w:pPr>
      <w:r>
        <w:t>Estimarea impactului economic trebuie să pornească de la date observabile: număr de vizitatori unici, origine, nopți de cazare, cheltuială medie și durata șederii. Multiplicatorii economici, dacă sunt utilizați, trebuie documentați și separați de cheltuiala directă. O cifră mai mică, dar demonstrabilă, este mai utilă decât o estimare spectaculoasă fără metodologie.</w:t>
      </w:r>
    </w:p>
    <w:p>
      <w:pPr>
        <w:pStyle w:val="Argumentare"/>
        <w:keepNext/>
      </w:pPr>
      <w:r>
        <w:t>FOLLOW-UP</w:t>
      </w:r>
    </w:p>
    <w:p>
      <w:pPr>
        <w:pStyle w:val="ArgumentBody"/>
      </w:pPr>
      <w:r>
        <w:t>Raportul la 60–90 de zile trebuie completat de o urmărire la 6–12 luni pentru proiectele B2B și de coproducție. Unele rezultate apar mult după festival, iar tocmai acestea pot deveni cele mai valoroase exemple pentru edițiile viitoare.</w:t>
      </w:r>
    </w:p>
    <w:tbl>
      <w:tblPr>
        <w:tblStyle w:val="TableGrid"/>
        <w:tblW w:type="auto" w:w="0"/>
        <w:jc w:val="center"/>
        <w:tblLayout w:type="autofit"/>
        <w:tblLook w:firstColumn="1" w:firstRow="1" w:lastColumn="0" w:lastRow="0" w:noHBand="0" w:noVBand="1" w:val="04A0"/>
      </w:tblPr>
      <w:tblGrid>
        <w:gridCol w:w="5184"/>
        <w:gridCol w:w="5184"/>
      </w:tblGrid>
      <w:tr>
        <w:trPr>
          <w:cantSplit/>
          <w:tblHeader w:val="true"/>
        </w:trPr>
        <w:tc>
          <w:tcPr>
            <w:tcW w:type="dxa" w:w="201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Domeniu</w:t>
            </w:r>
          </w:p>
        </w:tc>
        <w:tc>
          <w:tcPr>
            <w:tcW w:type="dxa" w:w="777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Indicatori</w:t>
            </w:r>
          </w:p>
        </w:tc>
      </w:tr>
      <w:tr>
        <w:trPr>
          <w:cantSplit/>
        </w:trPr>
        <w:tc>
          <w:tcPr>
            <w:tcW w:type="dxa" w:w="201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Cinema</w:t>
            </w:r>
          </w:p>
        </w:tc>
        <w:tc>
          <w:tcPr>
            <w:tcW w:type="dxa" w:w="777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80–90 proiecții; occupancy mediu; premiere; Q&amp;A attendance</w:t>
            </w:r>
          </w:p>
        </w:tc>
      </w:tr>
      <w:tr>
        <w:trPr>
          <w:cantSplit/>
        </w:trPr>
        <w:tc>
          <w:tcPr>
            <w:tcW w:type="dxa" w:w="201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Audiență</w:t>
            </w:r>
          </w:p>
        </w:tc>
        <w:tc>
          <w:tcPr>
            <w:tcW w:type="dxa" w:w="777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30.000+ participări cumulate; unique visitors; local vs tourist</w:t>
            </w:r>
          </w:p>
        </w:tc>
      </w:tr>
      <w:tr>
        <w:trPr>
          <w:cantSplit/>
        </w:trPr>
        <w:tc>
          <w:tcPr>
            <w:tcW w:type="dxa" w:w="201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Industry</w:t>
            </w:r>
          </w:p>
        </w:tc>
        <w:tc>
          <w:tcPr>
            <w:tcW w:type="dxa" w:w="777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150+ profesioniști; 60+ project meetings; 5+ proiecte cu follow-up</w:t>
            </w:r>
          </w:p>
        </w:tc>
      </w:tr>
      <w:tr>
        <w:trPr>
          <w:cantSplit/>
        </w:trPr>
        <w:tc>
          <w:tcPr>
            <w:tcW w:type="dxa" w:w="201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Business</w:t>
            </w:r>
          </w:p>
        </w:tc>
        <w:tc>
          <w:tcPr>
            <w:tcW w:type="dxa" w:w="777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100+ B2B; 25% follow-up formal; 5 rezultate cuantificabile la 6 luni</w:t>
            </w:r>
          </w:p>
        </w:tc>
      </w:tr>
      <w:tr>
        <w:trPr>
          <w:cantSplit/>
        </w:trPr>
        <w:tc>
          <w:tcPr>
            <w:tcW w:type="dxa" w:w="201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Turism</w:t>
            </w:r>
          </w:p>
        </w:tc>
        <w:tc>
          <w:tcPr>
            <w:tcW w:type="dxa" w:w="777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hotel nights generate; average stay; package uptake</w:t>
            </w:r>
          </w:p>
        </w:tc>
      </w:tr>
      <w:tr>
        <w:trPr>
          <w:cantSplit/>
        </w:trPr>
        <w:tc>
          <w:tcPr>
            <w:tcW w:type="dxa" w:w="201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Media</w:t>
            </w:r>
          </w:p>
        </w:tc>
        <w:tc>
          <w:tcPr>
            <w:tcW w:type="dxa" w:w="777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earned reach; press quality; international coverage; content views</w:t>
            </w:r>
          </w:p>
        </w:tc>
      </w:tr>
      <w:tr>
        <w:trPr>
          <w:cantSplit/>
        </w:trPr>
        <w:tc>
          <w:tcPr>
            <w:tcW w:type="dxa" w:w="201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Sponsori</w:t>
            </w:r>
          </w:p>
        </w:tc>
        <w:tc>
          <w:tcPr>
            <w:tcW w:type="dxa" w:w="777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renewal intention; benefits delivered; B2B introductions</w:t>
            </w:r>
          </w:p>
        </w:tc>
      </w:tr>
      <w:tr>
        <w:trPr>
          <w:cantSplit/>
        </w:trPr>
        <w:tc>
          <w:tcPr>
            <w:tcW w:type="dxa" w:w="201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Community</w:t>
            </w:r>
          </w:p>
        </w:tc>
        <w:tc>
          <w:tcPr>
            <w:tcW w:type="dxa" w:w="777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voluntari; resident participation; local procurement</w:t>
            </w:r>
          </w:p>
        </w:tc>
      </w:tr>
      <w:tr>
        <w:trPr>
          <w:cantSplit/>
        </w:trPr>
        <w:tc>
          <w:tcPr>
            <w:tcW w:type="dxa" w:w="201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Finance</w:t>
            </w:r>
          </w:p>
        </w:tc>
        <w:tc>
          <w:tcPr>
            <w:tcW w:type="dxa" w:w="7776"/>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budget variance; cash reserve; % non-public funding</w:t>
            </w:r>
          </w:p>
        </w:tc>
      </w:tr>
    </w:tbl>
    <w:p>
      <w:pPr>
        <w:spacing w:after="0"/>
      </w:pPr>
    </w:p>
    <w:p>
      <w:pPr>
        <w:pStyle w:val="Heading2"/>
        <w:keepNext/>
      </w:pPr>
      <w:r>
        <w:rPr>
          <w:color w:val="000000"/>
        </w:rPr>
        <w:t>Impact Report</w:t>
      </w:r>
    </w:p>
    <w:p>
      <w:r>
        <w:rPr>
          <w:color w:val="000000"/>
        </w:rPr>
        <w:t>La 60–90 zile după festival se publică un raport de impact cu metodologie explicită. Valoarea economică nu se declară prin multiplicatori arbitrari; se estimează folosind date de ticketing, chestionare, hotel nights, vendor spend și metodologii documentate.</w:t>
      </w:r>
    </w:p>
    <w:tbl>
      <w:tblPr>
        <w:tblW w:type="auto" w:w="0"/>
        <w:jc w:val="center"/>
        <w:tblLayout w:type="autofit"/>
        <w:tblLook w:firstColumn="1" w:firstRow="1" w:lastColumn="0" w:lastRow="0" w:noHBand="0" w:noVBand="1" w:val="04A0"/>
      </w:tblPr>
      <w:tblGrid>
        <w:gridCol w:w="10368"/>
      </w:tblGrid>
      <w:tr>
        <w:trPr>
          <w:cantSplit/>
        </w:trPr>
        <w:tc>
          <w:tcPr>
            <w:tcW w:type="dxa" w:w="10368"/>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vAlign w:val="center"/>
          </w:tcPr>
          <w:p>
            <w:pPr>
              <w:spacing w:after="40" w:before="20"/>
            </w:pPr>
            <w:r>
              <w:rPr>
                <w:rFonts w:ascii="Aptos" w:hAnsi="Aptos"/>
                <w:color w:val="000000"/>
                <w:sz w:val="16"/>
              </w:rPr>
            </w:r>
            <w:r>
              <w:rPr>
                <w:rFonts w:ascii="Aptos" w:hAnsi="Aptos"/>
                <w:b/>
                <w:color w:val="000000"/>
                <w:sz w:val="16"/>
              </w:rPr>
              <w:t>TARGET ANUL 5</w:t>
              <w:br/>
            </w:r>
            <w:r>
              <w:rPr>
                <w:rFonts w:ascii="Aptos" w:hAnsi="Aptos"/>
                <w:color w:val="000000"/>
                <w:sz w:val="16"/>
              </w:rPr>
              <w:t>Festival recunoscut ca platformă Europa–Asia Centrală; 25+ țări, 150+ invitați internaționali, 300+ profesioniști Industry/Business, venituri publice sub 25% și activitate GHFF pe tot parcursul anului.</w:t>
            </w:r>
          </w:p>
        </w:tc>
      </w:tr>
    </w:tbl>
    <w:p>
      <w:pPr>
        <w:spacing w:after="0"/>
      </w:pPr>
    </w:p>
    <w:p>
      <w:r>
        <w:rPr>
          <w:color w:val="000000"/>
        </w:rPr>
      </w:r>
    </w:p>
    <w:p>
      <w:pPr>
        <w:pStyle w:val="Kicker"/>
      </w:pPr>
      <w:r>
        <w:rPr>
          <w:color w:val="000000"/>
        </w:rPr>
        <w:t>DE LA MASTER PROJECT LA EDIȚIA INAUGURALĂ</w:t>
      </w:r>
    </w:p>
    <w:p>
      <w:pPr>
        <w:pStyle w:val="Heading1"/>
        <w:keepNext/>
      </w:pPr>
      <w:r>
        <w:rPr>
          <w:color w:val="000000"/>
        </w:rPr>
        <w:t>27. Roadmap 12 luni + deciziile solicitate</w:t>
      </w:r>
    </w:p>
    <w:p>
      <w:pPr>
        <w:pStyle w:val="Argumentare"/>
        <w:keepNext/>
      </w:pPr>
      <w:r>
        <w:t>ARGUMENTARE STRATEGICĂ</w:t>
      </w:r>
    </w:p>
    <w:p>
      <w:pPr>
        <w:pStyle w:val="ArgumentBody"/>
      </w:pPr>
      <w:r>
        <w:t>Roadmap-ul pe 12 luni transformă conceptul într-un calendar de decizie. Ordinea este importantă: nu se poate vinde sponsorizare majoră fără un minim acord asupra locațiilor și calendarului; nu se pot contracta filme fără buget și responsabil artistic; nu se poate lansa ticketing-ul înainte ca programul și capacitățile să fie suficient de stabile.</w:t>
      </w:r>
    </w:p>
    <w:p>
      <w:pPr>
        <w:pStyle w:val="Argumentare"/>
        <w:keepNext/>
      </w:pPr>
      <w:r>
        <w:t>PRIMELE 90 DE ZILE</w:t>
      </w:r>
    </w:p>
    <w:p>
      <w:pPr>
        <w:pStyle w:val="ArgumentBody"/>
      </w:pPr>
      <w:r>
        <w:t>Cele mai importante livrabile inițiale sunt acordul de principiu, entitatea juridică, nucleul de management, auditul locațiilor și sponsor/country outreach. Dacă acestea nu avansează în primele trei luni, data ediției trebuie reevaluată. Un festival internațional nu se recuperează sănătos prin comprimarea tuturor deciziilor în ultimele luni.</w:t>
      </w:r>
    </w:p>
    <w:p>
      <w:pPr>
        <w:pStyle w:val="Argumentare"/>
        <w:keepNext/>
      </w:pPr>
      <w:r>
        <w:t>DECIZIILE SOLICITATE</w:t>
      </w:r>
    </w:p>
    <w:p>
      <w:pPr>
        <w:pStyle w:val="ArgumentBody"/>
      </w:pPr>
      <w:r>
        <w:t>Partenerilor instituționali nu li se cere prin acest document aprobarea automată a întregului buget. Se solicită cadrul de lucru: interlocutori, acces la informații, hold-uri condiționate pentru locații și posibilitatea de a dezvolta memorandumuri și aplicații de finanțare. Această etapizare permite o decizie responsabilă și păstrează deschisă ajustarea proiectului după audit.</w:t>
      </w:r>
    </w:p>
    <w:tbl>
      <w:tblPr>
        <w:tblStyle w:val="TableGrid"/>
        <w:tblW w:type="auto" w:w="0"/>
        <w:jc w:val="center"/>
        <w:tblLayout w:type="autofit"/>
        <w:tblLook w:firstColumn="1" w:firstRow="1" w:lastColumn="0" w:lastRow="0" w:noHBand="0" w:noVBand="1" w:val="04A0"/>
      </w:tblPr>
      <w:tblGrid>
        <w:gridCol w:w="5184"/>
        <w:gridCol w:w="5184"/>
      </w:tblGrid>
      <w:tr>
        <w:trPr>
          <w:cantSplit/>
          <w:tblHeader w:val="true"/>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Moment</w:t>
            </w:r>
          </w:p>
        </w:tc>
        <w:tc>
          <w:tcPr>
            <w:tcW w:type="dxa" w:w="83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Livrabil</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T–12</w:t>
            </w:r>
          </w:p>
        </w:tc>
        <w:tc>
          <w:tcPr>
            <w:tcW w:type="dxa" w:w="83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Acord de principiu; entitate; Board provizoriu; Festival Director; buget-cadru</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T–11</w:t>
            </w:r>
          </w:p>
        </w:tc>
        <w:tc>
          <w:tcPr>
            <w:tcW w:type="dxa" w:w="83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Ambasade / country outreach; sponsor deck; venue holds</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T–10</w:t>
            </w:r>
          </w:p>
        </w:tc>
        <w:tc>
          <w:tcPr>
            <w:tcW w:type="dxa" w:w="83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Audit locații; Artistic Director; Film Market design; grant mapping</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T–9</w:t>
            </w:r>
          </w:p>
        </w:tc>
        <w:tc>
          <w:tcPr>
            <w:tcW w:type="dxa" w:w="83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Founding partners; countries shortlist; open calls</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T–8</w:t>
            </w:r>
          </w:p>
        </w:tc>
        <w:tc>
          <w:tcPr>
            <w:tcW w:type="dxa" w:w="83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Brand launch; website; save the date; press launch</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T–7</w:t>
            </w:r>
          </w:p>
        </w:tc>
        <w:tc>
          <w:tcPr>
            <w:tcW w:type="dxa" w:w="83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Selection pipeline; speakers; travel framework; vendors RFP</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T–6</w:t>
            </w:r>
          </w:p>
        </w:tc>
        <w:tc>
          <w:tcPr>
            <w:tcW w:type="dxa" w:w="83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Early bird; first titles; Business Forum partners</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T–5</w:t>
            </w:r>
          </w:p>
        </w:tc>
        <w:tc>
          <w:tcPr>
            <w:tcW w:type="dxa" w:w="83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Village design; hospitality allocations; volunteer campaign</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T–4</w:t>
            </w:r>
          </w:p>
        </w:tc>
        <w:tc>
          <w:tcPr>
            <w:tcW w:type="dxa" w:w="83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Project Market selection; technical contracting; city operations</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T–3</w:t>
            </w:r>
          </w:p>
        </w:tc>
        <w:tc>
          <w:tcPr>
            <w:tcW w:type="dxa" w:w="83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Major media campaign; visa support; accreditation live</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T–2</w:t>
            </w:r>
          </w:p>
        </w:tc>
        <w:tc>
          <w:tcPr>
            <w:tcW w:type="dxa" w:w="83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Full program; tickets; production book; staff training</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T–1</w:t>
            </w:r>
          </w:p>
        </w:tc>
        <w:tc>
          <w:tcPr>
            <w:tcW w:type="dxa" w:w="83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QC, rehearsals, signage, command center, crisis simulation</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w:t>
            </w:r>
          </w:p>
        </w:tc>
        <w:tc>
          <w:tcPr>
            <w:tcW w:type="dxa" w:w="83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14 zile festival</w:t>
            </w:r>
          </w:p>
        </w:tc>
      </w:tr>
      <w:tr>
        <w:trPr>
          <w:cantSplit/>
        </w:trPr>
        <w:tc>
          <w:tcPr>
            <w:tcW w:type="dxa" w:w="144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T+1–3 luni</w:t>
            </w:r>
          </w:p>
        </w:tc>
        <w:tc>
          <w:tcPr>
            <w:tcW w:type="dxa" w:w="835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Impact report; sponsor debrief; B2B follow-up; renewal</w:t>
            </w:r>
          </w:p>
        </w:tc>
      </w:tr>
    </w:tbl>
    <w:p>
      <w:pPr>
        <w:spacing w:after="0"/>
      </w:pPr>
    </w:p>
    <w:p>
      <w:pPr>
        <w:pStyle w:val="Heading2"/>
        <w:keepNext/>
      </w:pPr>
      <w:r>
        <w:rPr>
          <w:color w:val="000000"/>
        </w:rPr>
        <w:t>Decizii solicitate partenerilor instituționali</w:t>
      </w:r>
    </w:p>
    <w:p>
      <w:pPr>
        <w:pStyle w:val="ListBullet"/>
        <w:spacing w:after="36"/>
      </w:pPr>
      <w:r>
        <w:rPr>
          <w:color w:val="000000"/>
          <w:sz w:val="18"/>
        </w:rPr>
        <w:t>Acord de principiu pentru dezvoltarea proiectului și desemnarea unui grup de lucru.</w:t>
      </w:r>
    </w:p>
    <w:p>
      <w:pPr>
        <w:pStyle w:val="ListBullet"/>
        <w:spacing w:after="36"/>
      </w:pPr>
      <w:r>
        <w:rPr>
          <w:color w:val="000000"/>
          <w:sz w:val="18"/>
        </w:rPr>
        <w:t>Identificarea și rezervarea condiționată a locațiilor ce pot intra în Festival Campus.</w:t>
      </w:r>
    </w:p>
    <w:p>
      <w:pPr>
        <w:pStyle w:val="ListBullet"/>
        <w:spacing w:after="36"/>
      </w:pPr>
      <w:r>
        <w:rPr>
          <w:color w:val="000000"/>
          <w:sz w:val="18"/>
        </w:rPr>
        <w:t>Desemnarea interlocutorilor pentru cultură, patrimoniu, evenimente, turism și relații internaționale.</w:t>
      </w:r>
    </w:p>
    <w:p>
      <w:pPr>
        <w:pStyle w:val="ListBullet"/>
        <w:spacing w:after="36"/>
      </w:pPr>
      <w:r>
        <w:rPr>
          <w:color w:val="000000"/>
          <w:sz w:val="18"/>
        </w:rPr>
        <w:t>Sprijin pentru relația cu ambasade, instituții și potențiali country partners.</w:t>
      </w:r>
    </w:p>
    <w:p>
      <w:pPr>
        <w:pStyle w:val="ListBullet"/>
        <w:spacing w:after="36"/>
      </w:pPr>
      <w:r>
        <w:rPr>
          <w:color w:val="000000"/>
          <w:sz w:val="18"/>
        </w:rPr>
        <w:t>Definirea mecanismului de finanțare / cofinanțare și a calendarului administrativ.</w:t>
      </w:r>
    </w:p>
    <w:p>
      <w:pPr>
        <w:pStyle w:val="ListBullet"/>
        <w:spacing w:after="36"/>
      </w:pPr>
      <w:r>
        <w:rPr>
          <w:color w:val="000000"/>
          <w:sz w:val="18"/>
        </w:rPr>
        <w:t>Permisiunea de a dezvolta un memorandum de cooperare multianual, fără obligații financiare înainte de aprobările legale.</w:t>
      </w:r>
    </w:p>
    <w:tbl>
      <w:tblPr>
        <w:tblW w:type="auto" w:w="0"/>
        <w:jc w:val="center"/>
        <w:tblLayout w:type="autofit"/>
        <w:tblLook w:firstColumn="1" w:firstRow="1" w:lastColumn="0" w:lastRow="0" w:noHBand="0" w:noVBand="1" w:val="04A0"/>
      </w:tblPr>
      <w:tblGrid>
        <w:gridCol w:w="10368"/>
      </w:tblGrid>
      <w:tr>
        <w:trPr>
          <w:cantSplit/>
        </w:trPr>
        <w:tc>
          <w:tcPr>
            <w:tcW w:type="dxa" w:w="10368"/>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vAlign w:val="center"/>
          </w:tcPr>
          <w:p>
            <w:pPr>
              <w:spacing w:after="40" w:before="20"/>
            </w:pPr>
            <w:r>
              <w:rPr>
                <w:rFonts w:ascii="Aptos" w:hAnsi="Aptos"/>
                <w:color w:val="000000"/>
                <w:sz w:val="16"/>
              </w:rPr>
            </w:r>
            <w:r>
              <w:rPr>
                <w:rFonts w:ascii="Aptos" w:hAnsi="Aptos"/>
                <w:b/>
                <w:color w:val="000000"/>
                <w:sz w:val="16"/>
              </w:rPr>
              <w:t>NEXT DOCUMENTS</w:t>
              <w:br/>
            </w:r>
            <w:r>
              <w:rPr>
                <w:rFonts w:ascii="Aptos" w:hAnsi="Aptos"/>
                <w:color w:val="000000"/>
                <w:sz w:val="16"/>
              </w:rPr>
              <w:t>1) Institutional Pitch Deck 12–15 slide-uri; 2) Sponsor Deck; 3) Country Partner Prospectus; 4) Detailed Budget &amp; Cash-flow; 5) Venue Technical Audit; 6) Festival Regulations; 7) Memorandum template; 8) 2027 Production Book.</w:t>
            </w:r>
          </w:p>
        </w:tc>
      </w:tr>
    </w:tbl>
    <w:p>
      <w:pPr>
        <w:spacing w:after="0"/>
      </w:pPr>
    </w:p>
    <w:p>
      <w:r>
        <w:rPr>
          <w:color w:val="000000"/>
        </w:rPr>
      </w:r>
    </w:p>
    <w:p>
      <w:pPr>
        <w:pStyle w:val="Kicker"/>
      </w:pPr>
      <w:r>
        <w:rPr>
          <w:color w:val="000000"/>
        </w:rPr>
        <w:t>VERIFICATE LA 29 AUGUST 2026</w:t>
      </w:r>
    </w:p>
    <w:p>
      <w:pPr>
        <w:pStyle w:val="Heading1"/>
        <w:keepNext/>
      </w:pPr>
      <w:r>
        <w:rPr>
          <w:color w:val="000000"/>
        </w:rPr>
        <w:t>28. Surse de fundamentare și note</w:t>
      </w:r>
    </w:p>
    <w:p>
      <w:pPr>
        <w:pStyle w:val="Argumentare"/>
        <w:keepNext/>
      </w:pPr>
      <w:r>
        <w:t>ARGUMENTARE STRATEGICĂ</w:t>
      </w:r>
    </w:p>
    <w:p>
      <w:pPr>
        <w:pStyle w:val="ArgumentBody"/>
      </w:pPr>
      <w:r>
        <w:t>Secțiunea de surse separă faptele verificate de ipotezele de planificare. În proiectele culturale, confuzia dintre o posibilitate și o confirmare poate produce angajamente reputaționale sau financiare premature. De aceea, locațiile, liniile de finanțare, capacitățile și contribuțiile partenerilor sunt etichetate ca elemente ce trebuie reconfirmate la momentul contractării.</w:t>
      </w:r>
    </w:p>
    <w:p>
      <w:pPr>
        <w:pStyle w:val="Argumentare"/>
        <w:keepNext/>
      </w:pPr>
      <w:r>
        <w:t>DOCUMENT VIU</w:t>
      </w:r>
    </w:p>
    <w:p>
      <w:pPr>
        <w:pStyle w:val="ArgumentBody"/>
      </w:pPr>
      <w:r>
        <w:t>Master Project-ul trebuie actualizat după fiecare etapă majoră: auditul locațiilor, aprobarea datei, formarea Board-ului, confirmarea țărilor și închiderea finanțării. Versiunile trebuie numerotate, iar modificările esențiale păstrate într-un decision log. Astfel, toate părțile lucrează pe aceeași versiune și este redus riscul ca propuneri vechi să circule ca informație actuală.</w:t>
      </w:r>
    </w:p>
    <w:p>
      <w:pPr>
        <w:pStyle w:val="Argumentare"/>
        <w:keepNext/>
      </w:pPr>
      <w:r>
        <w:t>PRINCIPIU DE CREDIBILITATE</w:t>
      </w:r>
    </w:p>
    <w:p>
      <w:pPr>
        <w:pStyle w:val="ArgumentBody"/>
      </w:pPr>
      <w:r>
        <w:t>În prezentările către ambasade și finanțatori este preferabilă o formulare conservatoare și verificabilă. Ceea ce este confirmat trebuie prezentat ca atare; ceea ce este în negociere trebuie marcat; ceea ce este doar o țintă trebuie menționat drept obiectiv. Această disciplină crește încrederea și face proiectul mai ușor de apărat instituțional.</w:t>
      </w:r>
    </w:p>
    <w:p>
      <w:r>
        <w:rPr>
          <w:color w:val="000000"/>
        </w:rPr>
        <w:t>Acest Master Project este un document de concept și planificare. Datele despre locații, finanțări, eligibilități și tarife trebuie reconfirmate la momentul contractării. Sursele de mai jos fundamentează numai afirmațiile factuale indicate, nu reprezintă angajamente ale instituțiilor respective.</w:t>
      </w:r>
    </w:p>
    <w:tbl>
      <w:tblPr>
        <w:tblStyle w:val="TableGrid"/>
        <w:tblW w:type="auto" w:w="0"/>
        <w:jc w:val="center"/>
        <w:tblLayout w:type="autofit"/>
        <w:tblLook w:firstColumn="1" w:firstRow="1" w:lastColumn="0" w:lastRow="0" w:noHBand="0" w:noVBand="1" w:val="04A0"/>
      </w:tblPr>
      <w:tblGrid>
        <w:gridCol w:w="3456"/>
        <w:gridCol w:w="3456"/>
        <w:gridCol w:w="3456"/>
      </w:tblGrid>
      <w:tr>
        <w:trPr>
          <w:cantSplit/>
          <w:tblHeader w:val="true"/>
        </w:trPr>
        <w:tc>
          <w:tcPr>
            <w:tcW w:type="dxa" w:w="331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Sursă</w:t>
            </w:r>
          </w:p>
        </w:tc>
        <w:tc>
          <w:tcPr>
            <w:tcW w:type="dxa" w:w="360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Adresă</w:t>
            </w:r>
          </w:p>
        </w:tc>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b/>
                <w:color w:val="000000"/>
                <w:sz w:val="16"/>
              </w:rPr>
            </w:r>
            <w:r>
              <w:rPr>
                <w:rFonts w:ascii="Aptos" w:hAnsi="Aptos"/>
                <w:b/>
                <w:color w:val="000000"/>
                <w:sz w:val="16"/>
              </w:rPr>
              <w:t>Utilizare</w:t>
            </w:r>
          </w:p>
        </w:tc>
      </w:tr>
      <w:tr>
        <w:trPr>
          <w:cantSplit/>
        </w:trPr>
        <w:tc>
          <w:tcPr>
            <w:tcW w:type="dxa" w:w="331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UNESCO World Heritage Centre – Historic Centre of Sighişoara</w:t>
            </w:r>
          </w:p>
        </w:tc>
        <w:tc>
          <w:tcPr>
            <w:tcW w:type="dxa" w:w="360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https://whc.unesco.org/en/list/902</w:t>
            </w:r>
          </w:p>
        </w:tc>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Înscriere 1999; criterii (iii) și (v); patrimoniu mondial.</w:t>
            </w:r>
          </w:p>
        </w:tc>
      </w:tr>
      <w:tr>
        <w:trPr>
          <w:cantSplit/>
        </w:trPr>
        <w:tc>
          <w:tcPr>
            <w:tcW w:type="dxa" w:w="331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Municipiul Sighișoara – Festivalul Sighișoara Medievală 2026 / Program</w:t>
            </w:r>
          </w:p>
        </w:tc>
        <w:tc>
          <w:tcPr>
            <w:tcW w:type="dxa" w:w="360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https://primariasighisoara.ro/</w:t>
            </w:r>
          </w:p>
        </w:tc>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Utilizarea Piața Cetății, Piața Muzeului și traseelor din Cetate pentru evenimente.</w:t>
            </w:r>
          </w:p>
        </w:tc>
      </w:tr>
      <w:tr>
        <w:trPr>
          <w:cantSplit/>
        </w:trPr>
        <w:tc>
          <w:tcPr>
            <w:tcW w:type="dxa" w:w="331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Municipiul Sighișoara – Dezbateri publice 2026 / ProEtnica</w:t>
            </w:r>
          </w:p>
        </w:tc>
        <w:tc>
          <w:tcPr>
            <w:tcW w:type="dxa" w:w="360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https://primariasighisoara.ro/</w:t>
            </w:r>
          </w:p>
        </w:tc>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Referință la punerea la dispoziție a Sălii Ciprian Porumbescu și spațiilor municipale pentru eveniment intercultural.</w:t>
            </w:r>
          </w:p>
        </w:tc>
      </w:tr>
      <w:tr>
        <w:trPr>
          <w:cantSplit/>
        </w:trPr>
        <w:tc>
          <w:tcPr>
            <w:tcW w:type="dxa" w:w="331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Municipiul Sighișoara – document administrativ Sala Mihai Eminescu</w:t>
            </w:r>
          </w:p>
        </w:tc>
        <w:tc>
          <w:tcPr>
            <w:tcW w:type="dxa" w:w="360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https://primariasighisoara.ro/</w:t>
            </w:r>
          </w:p>
        </w:tc>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Existența / regimul de utilizare al sălii; tarifele istorice nu sunt folosite ca buget 2027.</w:t>
            </w:r>
          </w:p>
        </w:tc>
      </w:tr>
      <w:tr>
        <w:trPr>
          <w:cantSplit/>
        </w:trPr>
        <w:tc>
          <w:tcPr>
            <w:tcW w:type="dxa" w:w="331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European Commission – Creative Europe MEDIA strand</w:t>
            </w:r>
          </w:p>
        </w:tc>
        <w:tc>
          <w:tcPr>
            <w:tcW w:type="dxa" w:w="360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https://culture.ec.europa.eu/creative-europe/creative-europe-media-strand</w:t>
            </w:r>
          </w:p>
        </w:tc>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Rolul MEDIA în susținerea sectorului audiovizual european; eligibilitatea se verifică per apel.</w:t>
            </w:r>
          </w:p>
        </w:tc>
      </w:tr>
      <w:tr>
        <w:trPr>
          <w:cantSplit/>
        </w:trPr>
        <w:tc>
          <w:tcPr>
            <w:tcW w:type="dxa" w:w="3312"/>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Council of Europe – Eurimages, Co-production funding in 2026</w:t>
            </w:r>
          </w:p>
        </w:tc>
        <w:tc>
          <w:tcPr>
            <w:tcW w:type="dxa" w:w="3600"/>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https://www.coe.int/en/web/eurimages/co-production-funding-in-2026</w:t>
            </w:r>
          </w:p>
        </w:tc>
        <w:tc>
          <w:tcPr>
            <w:tcW w:type="dxa" w:w="3168"/>
            <w:vAlign w:val="center"/>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p>
            <w:pPr>
              <w:spacing w:after="40" w:before="20"/>
            </w:pPr>
            <w:r>
              <w:rPr>
                <w:rFonts w:ascii="Aptos" w:hAnsi="Aptos"/>
                <w:color w:val="000000"/>
                <w:sz w:val="16"/>
              </w:rPr>
            </w:r>
            <w:r>
              <w:rPr>
                <w:rFonts w:ascii="Aptos" w:hAnsi="Aptos"/>
                <w:b w:val="0"/>
                <w:color w:val="000000"/>
                <w:sz w:val="16"/>
              </w:rPr>
              <w:t>Context privind finanțarea coproducțiilor internaționale în 2026.</w:t>
            </w:r>
          </w:p>
        </w:tc>
      </w:tr>
    </w:tbl>
    <w:p>
      <w:pPr>
        <w:spacing w:after="0"/>
      </w:pPr>
    </w:p>
    <w:p>
      <w:pPr>
        <w:pStyle w:val="Heading2"/>
        <w:keepNext/>
      </w:pPr>
      <w:r>
        <w:rPr>
          <w:color w:val="000000"/>
        </w:rPr>
        <w:t>Ipoteze ce necesită validare</w:t>
      </w:r>
    </w:p>
    <w:p>
      <w:pPr>
        <w:pStyle w:val="ListBullet"/>
        <w:spacing w:after="36"/>
      </w:pPr>
      <w:r>
        <w:rPr>
          <w:color w:val="000000"/>
          <w:sz w:val="18"/>
        </w:rPr>
        <w:t>Data exactă a ediției inaugurale și compatibilitatea cu calendarul local / național.</w:t>
      </w:r>
    </w:p>
    <w:p>
      <w:pPr>
        <w:pStyle w:val="ListBullet"/>
        <w:spacing w:after="36"/>
      </w:pPr>
      <w:r>
        <w:rPr>
          <w:color w:val="000000"/>
          <w:sz w:val="18"/>
        </w:rPr>
        <w:t>Capacitățile actuale, echiparea și disponibilitatea tuturor sălilor.</w:t>
      </w:r>
    </w:p>
    <w:p>
      <w:pPr>
        <w:pStyle w:val="ListBullet"/>
        <w:spacing w:after="36"/>
      </w:pPr>
      <w:r>
        <w:rPr>
          <w:color w:val="000000"/>
          <w:sz w:val="18"/>
        </w:rPr>
        <w:t>Bugetele publice și liniile de finanțare eligibile pentru anul festivalului.</w:t>
      </w:r>
    </w:p>
    <w:p>
      <w:pPr>
        <w:pStyle w:val="ListBullet"/>
        <w:spacing w:after="36"/>
      </w:pPr>
      <w:r>
        <w:rPr>
          <w:color w:val="000000"/>
          <w:sz w:val="18"/>
        </w:rPr>
        <w:t>Contribuțiile country partners, sponsorilor și partenerilor media.</w:t>
      </w:r>
    </w:p>
    <w:p>
      <w:pPr>
        <w:pStyle w:val="ListBullet"/>
        <w:spacing w:after="36"/>
      </w:pPr>
      <w:r>
        <w:rPr>
          <w:color w:val="000000"/>
          <w:sz w:val="18"/>
        </w:rPr>
        <w:t>Structura juridică, Board-ul și echipa nominală.</w:t>
      </w:r>
    </w:p>
    <w:p>
      <w:pPr>
        <w:pStyle w:val="ListBullet"/>
        <w:spacing w:after="36"/>
      </w:pPr>
      <w:r>
        <w:rPr>
          <w:color w:val="000000"/>
          <w:sz w:val="18"/>
        </w:rPr>
        <w:t>Drepturile de film, invitații și acordurile de hospitality.</w:t>
      </w:r>
    </w:p>
    <w:tbl>
      <w:tblPr>
        <w:tblW w:type="auto" w:w="0"/>
        <w:jc w:val="center"/>
        <w:tblLayout w:type="autofit"/>
        <w:tblLook w:firstColumn="1" w:firstRow="1" w:lastColumn="0" w:lastRow="0" w:noHBand="0" w:noVBand="1" w:val="04A0"/>
      </w:tblPr>
      <w:tblGrid>
        <w:gridCol w:w="10368"/>
      </w:tblGrid>
      <w:tr>
        <w:trPr>
          <w:cantSplit/>
        </w:trPr>
        <w:tc>
          <w:tcPr>
            <w:tcW w:type="dxa" w:w="10368"/>
            <w:tcMar>
              <w:top w:w="55" w:type="dxa"/>
              <w:left w:w="70" w:type="dxa"/>
              <w:bottom w:w="55" w:type="dxa"/>
              <w:right w:w="70" w:type="dxa"/>
            </w:tcMa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vAlign w:val="center"/>
          </w:tcPr>
          <w:p>
            <w:pPr>
              <w:spacing w:after="40" w:before="20"/>
            </w:pPr>
            <w:r>
              <w:rPr>
                <w:rFonts w:ascii="Aptos" w:hAnsi="Aptos"/>
                <w:color w:val="000000"/>
                <w:sz w:val="16"/>
              </w:rPr>
            </w:r>
            <w:r>
              <w:rPr>
                <w:rFonts w:ascii="Aptos" w:hAnsi="Aptos"/>
                <w:b/>
                <w:color w:val="000000"/>
                <w:sz w:val="16"/>
              </w:rPr>
              <w:t>STATUT DOCUMENT</w:t>
              <w:br/>
            </w:r>
            <w:r>
              <w:rPr>
                <w:rFonts w:ascii="Aptos" w:hAnsi="Aptos"/>
                <w:color w:val="000000"/>
                <w:sz w:val="16"/>
              </w:rPr>
              <w:t>MASTER PROJECT v2.0 — bază pentru consultare instituțională, fundraising și dezvoltarea documentelor contractuale. Nu reprezintă ofertă fermă, buget aprobat, rezervare de locații sau angajament al unei instituții.</w:t>
            </w:r>
          </w:p>
        </w:tc>
      </w:tr>
    </w:tbl>
    <w:p>
      <w:pPr>
        <w:spacing w:after="0"/>
      </w:pPr>
    </w:p>
    <w:sectPr w:rsidR="00FC693F" w:rsidRPr="0006063C" w:rsidSect="00034616">
      <w:headerReference w:type="default" r:id="rId9"/>
      <w:footerReference w:type="default" r:id="rId10"/>
      <w:pgSz w:w="12240" w:h="15840"/>
      <w:pgMar w:top="893" w:right="1037" w:bottom="835"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000000"/>
        <w:sz w:val="16"/>
      </w:rPr>
      <w:t xml:space="preserve">Confidențial – document de lucru instituțional  •  August 2026  •  </w:t>
    </w:r>
    <w:r>
      <w:rPr>
        <w:rFonts w:ascii="Aptos" w:hAnsi="Aptos"/>
        <w:color w:val="000000"/>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
      <w:jc w:val="right"/>
    </w:pPr>
    <w:r>
      <w:rPr>
        <w:rFonts w:ascii="Aptos" w:hAnsi="Aptos"/>
        <w:color w:val="000000"/>
        <w:sz w:val="16"/>
      </w:rPr>
      <w:t>GHFF – GLOBAL HUB FILM FESTIVAL — SIGHIȘOARA  |  MASTER PROJECT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eastAsia="Aptos"/>
      <w:color w:val="00000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eastAsia="Aptos Display"/>
      <w:b/>
      <w:bCs/>
      <w:color w:val="000000"/>
      <w:sz w:val="36"/>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w:hAnsi="Aptos" w:eastAsia="Aptos"/>
      <w:b/>
      <w:bCs/>
      <w:color w:val="000000"/>
      <w:sz w:val="25"/>
      <w:szCs w:val="26"/>
    </w:rPr>
  </w:style>
  <w:style w:type="paragraph" w:styleId="Heading3">
    <w:name w:val="heading 3"/>
    <w:basedOn w:val="Normal"/>
    <w:next w:val="Normal"/>
    <w:link w:val="Heading3Char"/>
    <w:uiPriority w:val="9"/>
    <w:unhideWhenUsed/>
    <w:qFormat/>
    <w:rsid w:val="00FC693F"/>
    <w:pPr>
      <w:keepNext/>
      <w:keepLines/>
      <w:spacing w:before="60" w:after="40"/>
      <w:outlineLvl w:val="2"/>
    </w:pPr>
    <w:rPr>
      <w:rFonts w:asciiTheme="majorHAnsi" w:eastAsiaTheme="majorEastAsia" w:hAnsiTheme="majorHAnsi" w:cstheme="majorBidi" w:ascii="Aptos" w:hAnsi="Aptos" w:eastAsia="Aptos"/>
      <w:b/>
      <w:bCs/>
      <w:color w:val="B28A3C"/>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ptos Display" w:hAnsi="Aptos Display" w:eastAsia="Aptos Display"/>
      <w:b/>
      <w:color w:val="17365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ptos" w:hAnsi="Aptos"/>
      <w:color w:val="00000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Aptos" w:hAnsi="Aptos"/>
      <w:color w:val="00000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
    <w:name w:val="Small"/>
    <w:pPr>
      <w:spacing w:after="60"/>
    </w:pPr>
    <w:rPr>
      <w:rFonts w:ascii="Aptos" w:hAnsi="Aptos" w:eastAsia="Aptos"/>
      <w:b w:val="0"/>
      <w:color w:val="666666"/>
      <w:sz w:val="16"/>
    </w:rPr>
  </w:style>
  <w:style w:type="paragraph" w:customStyle="1" w:styleId="Kicker">
    <w:name w:val="Kicker"/>
    <w:pPr>
      <w:keepNext/>
      <w:spacing w:after="60"/>
    </w:pPr>
    <w:rPr>
      <w:rFonts w:ascii="Aptos" w:hAnsi="Aptos" w:eastAsia="Aptos"/>
      <w:b/>
      <w:color w:val="000000"/>
      <w:sz w:val="17"/>
    </w:rPr>
  </w:style>
  <w:style w:type="paragraph" w:customStyle="1" w:styleId="Lead">
    <w:name w:val="Lead"/>
    <w:pPr>
      <w:spacing w:after="160" w:line="259" w:lineRule="auto"/>
    </w:pPr>
    <w:rPr>
      <w:rFonts w:ascii="Aptos" w:hAnsi="Aptos" w:eastAsia="Aptos"/>
      <w:b w:val="0"/>
      <w:color w:val="000000"/>
      <w:sz w:val="22"/>
    </w:rPr>
  </w:style>
  <w:style w:type="paragraph" w:customStyle="1" w:styleId="TableText">
    <w:name w:val="TableText"/>
    <w:pPr>
      <w:spacing w:after="60"/>
    </w:pPr>
    <w:rPr>
      <w:rFonts w:ascii="Aptos" w:hAnsi="Aptos" w:eastAsia="Aptos"/>
      <w:b w:val="0"/>
      <w:color w:val="222222"/>
      <w:sz w:val="16"/>
    </w:rPr>
  </w:style>
  <w:style w:type="paragraph" w:customStyle="1" w:styleId="Argumentare">
    <w:name w:val="Argumentare"/>
    <w:pPr>
      <w:keepNext/>
      <w:spacing w:before="80" w:after="60"/>
    </w:pPr>
    <w:rPr>
      <w:rFonts w:ascii="Aptos" w:hAnsi="Aptos"/>
      <w:b/>
      <w:color w:val="000000"/>
      <w:sz w:val="18"/>
    </w:rPr>
  </w:style>
  <w:style w:type="paragraph" w:customStyle="1" w:styleId="ArgumentBody">
    <w:name w:val="ArgumentBody"/>
    <w:pPr>
      <w:spacing w:after="100" w:line="259" w:lineRule="auto"/>
    </w:pPr>
    <w:rPr>
      <w:rFonts w:ascii="Aptos" w:hAnsi="Aptos"/>
      <w:color w:val="000000"/>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EURASIA Film &amp; Culture Hub – Sighișoara | Master Project extins</dc:title>
  <dc:subject>Master Project instituțional – festival internațional de film, cultură, diplomație și business</dc:subject>
  <dc:creator>python-docx</dc:creator>
  <cp:keywords>Sighișoara, Eurasia, film festival, Asia Centrală, business forum, film market, coproducție</cp:keywords>
  <dc:description>Versiune 2.0, stil minimalist alb-negru, argumentare extinsă pe capitole.</dc:description>
  <cp:lastModifiedBy/>
  <cp:revision>1</cp:revision>
  <dcterms:created xsi:type="dcterms:W3CDTF">2013-12-23T23:15:00Z</dcterms:created>
  <dcterms:modified xsi:type="dcterms:W3CDTF">2013-12-23T23:15:00Z</dcterms:modified>
  <cp:category/>
</cp:coreProperties>
</file>